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120"/>
      </w:pPr>
      <w:r>
        <w:rPr>
          <w:rFonts w:ascii="Arial" w:hAnsi="Arial"/>
          <w:b/>
          <w:color w:val="1F4E79"/>
          <w:sz w:val="44"/>
        </w:rPr>
        <w:t>Day 1 Data Ingestion &amp; Quality Summary</w:t>
      </w:r>
    </w:p>
    <w:p>
      <w:pPr>
        <w:spacing w:after="480"/>
      </w:pPr>
      <w:r>
        <w:rPr>
          <w:i/>
          <w:color w:val="708090"/>
          <w:sz w:val="20"/>
        </w:rPr>
        <w:t>Mutual Fund Analytics Capstone Project | Day 1 Work Review</w:t>
      </w:r>
    </w:p>
    <w:p>
      <w:r>
        <w:t>Hey,</w:t>
      </w:r>
    </w:p>
    <w:p>
      <w:r>
        <w:t>Here is the complete summary of the work I did today for the Mutual Fund Analytics setup. I've got the project folder structure organized, the local environment set up, all the raw datasets ingested, and the live API connection working.</w:t>
      </w:r>
    </w:p>
    <w:p>
      <w:r>
        <w:t>I did a deep dive into the 10 CSV files to check for quality issues. There are a few dirty spots (duplicates, missing fields, and date format mismatches) that we will need to clean up first thing tomorrow. I’ve detailed everything below.</w:t>
      </w:r>
    </w:p>
    <w:p>
      <w:pPr>
        <w:spacing w:before="360" w:after="120"/>
      </w:pPr>
      <w:r>
        <w:rPr>
          <w:b/>
          <w:color w:val="1F4E79"/>
          <w:sz w:val="28"/>
        </w:rPr>
        <w:t>1. Project Directory &amp; Environment Layout</w:t>
      </w:r>
    </w:p>
    <w:p>
      <w:r>
        <w:t xml:space="preserve">I set up the project folder structure inside the directory: </w:t>
      </w:r>
      <w:r>
        <w:rPr>
          <w:b/>
        </w:rPr>
        <w:t>C:\Users\jibum\OneDrive\Desktop\Bluestock Internship</w:t>
      </w:r>
    </w:p>
    <w:p>
      <w:r>
        <w:t>Here is the current layout and where we stand:</w:t>
      </w:r>
    </w:p>
    <w:p>
      <w:pPr>
        <w:pStyle w:val="ListBullet"/>
      </w:pPr>
      <w:r>
        <w:rPr>
          <w:b/>
        </w:rPr>
        <w:t>data/raw/</w:t>
      </w:r>
      <w:r>
        <w:t xml:space="preserve"> - Active. This contains the 10 original local CSV datasets, plus the raw historical CSVs I downloaded from the API.</w:t>
      </w:r>
    </w:p>
    <w:p>
      <w:pPr>
        <w:pStyle w:val="ListBullet"/>
      </w:pPr>
      <w:r>
        <w:rPr>
          <w:b/>
        </w:rPr>
        <w:t>data/processed/</w:t>
      </w:r>
      <w:r>
        <w:t xml:space="preserve"> - Empty. This is intentional! It is currently an empty staging folder. I will be outputting our deduplicated, clean, and merged datasets here during tomorrow's cleaning phase.</w:t>
      </w:r>
    </w:p>
    <w:p>
      <w:pPr>
        <w:pStyle w:val="ListBullet"/>
      </w:pPr>
      <w:r>
        <w:rPr>
          <w:b/>
        </w:rPr>
        <w:t>notebooks/</w:t>
      </w:r>
      <w:r>
        <w:t xml:space="preserve"> - Placeholder. Set up and ready for Jupyter/Google Colab notebooks for explorative analysis.</w:t>
      </w:r>
    </w:p>
    <w:p>
      <w:pPr>
        <w:pStyle w:val="ListBullet"/>
      </w:pPr>
      <w:r>
        <w:rPr>
          <w:b/>
        </w:rPr>
        <w:t>sql/</w:t>
      </w:r>
      <w:r>
        <w:t xml:space="preserve"> - Placeholder. Ready to hold database table definitions, schemas, and staging queries.</w:t>
      </w:r>
    </w:p>
    <w:p>
      <w:pPr>
        <w:pStyle w:val="ListBullet"/>
      </w:pPr>
      <w:r>
        <w:rPr>
          <w:b/>
        </w:rPr>
        <w:t>dashboard/</w:t>
      </w:r>
      <w:r>
        <w:t xml:space="preserve"> - Empty. Another intentional placeholder. I'll be using this directory later to store the visual assets, styling sheets, and configuration files for the UI and dashboard widgets.</w:t>
      </w:r>
    </w:p>
    <w:p>
      <w:pPr>
        <w:pStyle w:val="ListBullet"/>
      </w:pPr>
      <w:r>
        <w:rPr>
          <w:b/>
        </w:rPr>
        <w:t>reports/</w:t>
      </w:r>
      <w:r>
        <w:t xml:space="preserve"> - Active. Where I'm saving our documentation, summaries, and data quality reports.</w:t>
      </w:r>
    </w:p>
    <w:p>
      <w:pPr>
        <w:spacing w:before="160"/>
      </w:pPr>
      <w:r>
        <w:rPr>
          <w:b/>
        </w:rPr>
        <w:t xml:space="preserve">Quick Note on Environment: </w:t>
      </w:r>
      <w:r>
        <w:t>I successfully initialized the local Git repository and set up the remote pointing to our GitHub repository. Everything has been committed cleanly under the message "Day 1: Data ingestion complete".</w:t>
      </w:r>
    </w:p>
    <w:p>
      <w:r>
        <w:t>I also created requirements.txt with all the specific versions we need for the analytical stack (Pandas, NumPy, Matplotlib, Seaborn, Plotly, SQLAlchemy, Requests, SciPy, and Jupyter).</w:t>
      </w:r>
    </w:p>
    <w:p>
      <w:pPr>
        <w:spacing w:before="360" w:after="120"/>
      </w:pPr>
      <w:r>
        <w:rPr>
          <w:b/>
          <w:color w:val="1F4E79"/>
          <w:sz w:val="28"/>
        </w:rPr>
        <w:t>2. Ingested Datasets &amp; Structural Profiles</w:t>
      </w:r>
    </w:p>
    <w:p>
      <w:r>
        <w:t>I wrote an ETL script (data_ingestion.py) to systematically load and inspect all 10 source CSV files using Pandas. Here is the exact profile of the data as it stands: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fill="1F4E79"/>
            <w:tcMar>
              <w:top w:w="120" w:type="dxa"/>
              <w:bottom w:w="120" w:type="dxa"/>
              <w:left w:w="150" w:type="dxa"/>
              <w:right w:w="150" w:type="dxa"/>
            </w:tcMar>
          </w:tcPr>
          <w:p>
            <w:r>
              <w:rPr>
                <w:b/>
                <w:color w:val="FFFFFF"/>
                <w:sz w:val="20"/>
              </w:rPr>
              <w:t>Dataset File Name</w:t>
            </w:r>
          </w:p>
        </w:tc>
        <w:tc>
          <w:tcPr>
            <w:tcW w:type="dxa" w:w="1872"/>
            <w:shd w:fill="1F4E79"/>
            <w:tcMar>
              <w:top w:w="120" w:type="dxa"/>
              <w:bottom w:w="120" w:type="dxa"/>
              <w:left w:w="150" w:type="dxa"/>
              <w:right w:w="150" w:type="dxa"/>
            </w:tcMar>
          </w:tcPr>
          <w:p>
            <w:r>
              <w:rPr>
                <w:b/>
                <w:color w:val="FFFFFF"/>
                <w:sz w:val="20"/>
              </w:rPr>
              <w:t>Shape</w:t>
            </w:r>
          </w:p>
        </w:tc>
        <w:tc>
          <w:tcPr>
            <w:tcW w:type="dxa" w:w="1872"/>
            <w:shd w:fill="1F4E79"/>
            <w:tcMar>
              <w:top w:w="120" w:type="dxa"/>
              <w:bottom w:w="120" w:type="dxa"/>
              <w:left w:w="150" w:type="dxa"/>
              <w:right w:w="150" w:type="dxa"/>
            </w:tcMar>
          </w:tcPr>
          <w:p>
            <w:r>
              <w:rPr>
                <w:b/>
                <w:color w:val="FFFFFF"/>
                <w:sz w:val="20"/>
              </w:rPr>
              <w:t>Target Primary Key</w:t>
            </w:r>
          </w:p>
        </w:tc>
        <w:tc>
          <w:tcPr>
            <w:tcW w:type="dxa" w:w="1872"/>
            <w:shd w:fill="1F4E79"/>
            <w:tcMar>
              <w:top w:w="120" w:type="dxa"/>
              <w:bottom w:w="120" w:type="dxa"/>
              <w:left w:w="150" w:type="dxa"/>
              <w:right w:w="150" w:type="dxa"/>
            </w:tcMar>
          </w:tcPr>
          <w:p>
            <w:r>
              <w:rPr>
                <w:b/>
                <w:color w:val="FFFFFF"/>
                <w:sz w:val="20"/>
              </w:rPr>
              <w:t>Main Column Dtypes</w:t>
            </w:r>
          </w:p>
        </w:tc>
        <w:tc>
          <w:tcPr>
            <w:tcW w:type="dxa" w:w="1872"/>
            <w:shd w:fill="1F4E79"/>
            <w:tcMar>
              <w:top w:w="120" w:type="dxa"/>
              <w:bottom w:w="120" w:type="dxa"/>
              <w:left w:w="150" w:type="dxa"/>
              <w:right w:w="150" w:type="dxa"/>
            </w:tcMar>
          </w:tcPr>
          <w:p>
            <w:r>
              <w:rPr>
                <w:b/>
                <w:color w:val="FFFFFF"/>
                <w:sz w:val="20"/>
              </w:rPr>
              <w:t>Quality Status</w:t>
            </w:r>
          </w:p>
        </w:tc>
      </w:tr>
      <w:tr>
        <w:tc>
          <w:tcPr>
            <w:tcW w:type="dxa" w:w="1872"/>
            <w:shd w:fill="FFFFFF"/>
            <w:tcMar>
              <w:top w:w="80" w:type="dxa"/>
              <w:bottom w:w="80" w:type="dxa"/>
              <w:left w:w="150" w:type="dxa"/>
              <w:right w:w="150" w:type="dxa"/>
            </w:tcMar>
          </w:tcPr>
          <w:p>
            <w:r>
              <w:rPr>
                <w:sz w:val="19"/>
              </w:rPr>
              <w:t>fund_master.csv</w:t>
            </w:r>
          </w:p>
        </w:tc>
        <w:tc>
          <w:tcPr>
            <w:tcW w:type="dxa" w:w="1872"/>
            <w:shd w:fill="FFFFFF"/>
            <w:tcMar>
              <w:top w:w="80" w:type="dxa"/>
              <w:bottom w:w="80" w:type="dxa"/>
              <w:left w:w="150" w:type="dxa"/>
              <w:right w:w="150" w:type="dxa"/>
            </w:tcMar>
          </w:tcPr>
          <w:p>
            <w:r>
              <w:rPr>
                <w:sz w:val="19"/>
              </w:rPr>
              <w:t>12 x 6</w:t>
            </w:r>
          </w:p>
        </w:tc>
        <w:tc>
          <w:tcPr>
            <w:tcW w:type="dxa" w:w="1872"/>
            <w:shd w:fill="FFFFFF"/>
            <w:tcMar>
              <w:top w:w="80" w:type="dxa"/>
              <w:bottom w:w="80" w:type="dxa"/>
              <w:left w:w="150" w:type="dxa"/>
              <w:right w:w="150" w:type="dxa"/>
            </w:tcMar>
          </w:tcPr>
          <w:p>
            <w:r>
              <w:rPr>
                <w:sz w:val="19"/>
              </w:rPr>
              <w:t>amfi_code</w:t>
            </w:r>
          </w:p>
        </w:tc>
        <w:tc>
          <w:tcPr>
            <w:tcW w:type="dxa" w:w="1872"/>
            <w:shd w:fill="FFFFFF"/>
            <w:tcMar>
              <w:top w:w="80" w:type="dxa"/>
              <w:bottom w:w="80" w:type="dxa"/>
              <w:left w:w="150" w:type="dxa"/>
              <w:right w:w="150" w:type="dxa"/>
            </w:tcMar>
          </w:tcPr>
          <w:p>
            <w:r>
              <w:rPr>
                <w:sz w:val="19"/>
              </w:rPr>
              <w:t>int64, object (string)</w:t>
            </w:r>
          </w:p>
        </w:tc>
        <w:tc>
          <w:tcPr>
            <w:tcW w:type="dxa" w:w="1872"/>
            <w:shd w:fill="FFFFFF"/>
            <w:tcMar>
              <w:top w:w="80" w:type="dxa"/>
              <w:bottom w:w="80" w:type="dxa"/>
              <w:left w:w="150" w:type="dxa"/>
              <w:right w:w="150" w:type="dxa"/>
            </w:tcMar>
          </w:tcPr>
          <w:p>
            <w:r>
              <w:rPr>
                <w:b/>
                <w:color w:val="C0392B"/>
                <w:sz w:val="19"/>
              </w:rPr>
              <w:t>Dirty (Nulls &amp; Duplicates)</w:t>
            </w:r>
          </w:p>
        </w:tc>
      </w:tr>
      <w:tr>
        <w:tc>
          <w:tcPr>
            <w:tcW w:type="dxa" w:w="1872"/>
            <w:shd w:fill="F2F5F8"/>
            <w:tcMar>
              <w:top w:w="80" w:type="dxa"/>
              <w:bottom w:w="80" w:type="dxa"/>
              <w:left w:w="150" w:type="dxa"/>
              <w:right w:w="150" w:type="dxa"/>
            </w:tcMar>
          </w:tcPr>
          <w:p>
            <w:r>
              <w:rPr>
                <w:sz w:val="19"/>
              </w:rPr>
              <w:t>nav_history.csv</w:t>
            </w:r>
          </w:p>
        </w:tc>
        <w:tc>
          <w:tcPr>
            <w:tcW w:type="dxa" w:w="1872"/>
            <w:shd w:fill="F2F5F8"/>
            <w:tcMar>
              <w:top w:w="80" w:type="dxa"/>
              <w:bottom w:w="80" w:type="dxa"/>
              <w:left w:w="150" w:type="dxa"/>
              <w:right w:w="150" w:type="dxa"/>
            </w:tcMar>
          </w:tcPr>
          <w:p>
            <w:r>
              <w:rPr>
                <w:sz w:val="19"/>
              </w:rPr>
              <w:t>101 x 3</w:t>
            </w:r>
          </w:p>
        </w:tc>
        <w:tc>
          <w:tcPr>
            <w:tcW w:type="dxa" w:w="1872"/>
            <w:shd w:fill="F2F5F8"/>
            <w:tcMar>
              <w:top w:w="80" w:type="dxa"/>
              <w:bottom w:w="80" w:type="dxa"/>
              <w:left w:w="150" w:type="dxa"/>
              <w:right w:w="150" w:type="dxa"/>
            </w:tcMar>
          </w:tcPr>
          <w:p>
            <w:r>
              <w:rPr>
                <w:sz w:val="19"/>
              </w:rPr>
              <w:t>amfi_code + date</w:t>
            </w:r>
          </w:p>
        </w:tc>
        <w:tc>
          <w:tcPr>
            <w:tcW w:type="dxa" w:w="1872"/>
            <w:shd w:fill="F2F5F8"/>
            <w:tcMar>
              <w:top w:w="80" w:type="dxa"/>
              <w:bottom w:w="80" w:type="dxa"/>
              <w:left w:w="150" w:type="dxa"/>
              <w:right w:w="150" w:type="dxa"/>
            </w:tcMar>
          </w:tcPr>
          <w:p>
            <w:r>
              <w:rPr>
                <w:sz w:val="19"/>
              </w:rPr>
              <w:t>int64, object (string), float64</w:t>
            </w:r>
          </w:p>
        </w:tc>
        <w:tc>
          <w:tcPr>
            <w:tcW w:type="dxa" w:w="1872"/>
            <w:shd w:fill="F2F5F8"/>
            <w:tcMar>
              <w:top w:w="80" w:type="dxa"/>
              <w:bottom w:w="80" w:type="dxa"/>
              <w:left w:w="150" w:type="dxa"/>
              <w:right w:w="150" w:type="dxa"/>
            </w:tcMar>
          </w:tcPr>
          <w:p>
            <w:r>
              <w:rPr>
                <w:b/>
                <w:color w:val="C0392B"/>
                <w:sz w:val="19"/>
              </w:rPr>
              <w:t>Dirty (Mixed date formats)</w:t>
            </w:r>
          </w:p>
        </w:tc>
      </w:tr>
      <w:tr>
        <w:tc>
          <w:tcPr>
            <w:tcW w:type="dxa" w:w="1872"/>
            <w:shd w:fill="FFFFFF"/>
            <w:tcMar>
              <w:top w:w="80" w:type="dxa"/>
              <w:bottom w:w="80" w:type="dxa"/>
              <w:left w:w="150" w:type="dxa"/>
              <w:right w:w="150" w:type="dxa"/>
            </w:tcMar>
          </w:tcPr>
          <w:p>
            <w:r>
              <w:rPr>
                <w:sz w:val="19"/>
              </w:rPr>
              <w:t>investors.csv</w:t>
            </w:r>
          </w:p>
        </w:tc>
        <w:tc>
          <w:tcPr>
            <w:tcW w:type="dxa" w:w="1872"/>
            <w:shd w:fill="FFFFFF"/>
            <w:tcMar>
              <w:top w:w="80" w:type="dxa"/>
              <w:bottom w:w="80" w:type="dxa"/>
              <w:left w:w="150" w:type="dxa"/>
              <w:right w:w="150" w:type="dxa"/>
            </w:tcMar>
          </w:tcPr>
          <w:p>
            <w:r>
              <w:rPr>
                <w:sz w:val="19"/>
              </w:rPr>
              <w:t>5 x 5</w:t>
            </w:r>
          </w:p>
        </w:tc>
        <w:tc>
          <w:tcPr>
            <w:tcW w:type="dxa" w:w="1872"/>
            <w:shd w:fill="FFFFFF"/>
            <w:tcMar>
              <w:top w:w="80" w:type="dxa"/>
              <w:bottom w:w="80" w:type="dxa"/>
              <w:left w:w="150" w:type="dxa"/>
              <w:right w:w="150" w:type="dxa"/>
            </w:tcMar>
          </w:tcPr>
          <w:p>
            <w:r>
              <w:rPr>
                <w:sz w:val="19"/>
              </w:rPr>
              <w:t>investor_id</w:t>
            </w:r>
          </w:p>
        </w:tc>
        <w:tc>
          <w:tcPr>
            <w:tcW w:type="dxa" w:w="1872"/>
            <w:shd w:fill="FFFFFF"/>
            <w:tcMar>
              <w:top w:w="80" w:type="dxa"/>
              <w:bottom w:w="80" w:type="dxa"/>
              <w:left w:w="150" w:type="dxa"/>
              <w:right w:w="150" w:type="dxa"/>
            </w:tcMar>
          </w:tcPr>
          <w:p>
            <w:r>
              <w:rPr>
                <w:sz w:val="19"/>
              </w:rPr>
              <w:t>object, object (string)</w:t>
            </w:r>
          </w:p>
        </w:tc>
        <w:tc>
          <w:tcPr>
            <w:tcW w:type="dxa" w:w="1872"/>
            <w:shd w:fill="FFFFFF"/>
            <w:tcMar>
              <w:top w:w="80" w:type="dxa"/>
              <w:bottom w:w="80" w:type="dxa"/>
              <w:left w:w="150" w:type="dxa"/>
              <w:right w:w="150" w:type="dxa"/>
            </w:tcMar>
          </w:tcPr>
          <w:p>
            <w:r>
              <w:rPr>
                <w:b/>
                <w:color w:val="C0392B"/>
                <w:sz w:val="19"/>
              </w:rPr>
              <w:t>Dirty (Has nulls)</w:t>
            </w:r>
          </w:p>
        </w:tc>
      </w:tr>
      <w:tr>
        <w:tc>
          <w:tcPr>
            <w:tcW w:type="dxa" w:w="1872"/>
            <w:shd w:fill="F2F5F8"/>
            <w:tcMar>
              <w:top w:w="80" w:type="dxa"/>
              <w:bottom w:w="80" w:type="dxa"/>
              <w:left w:w="150" w:type="dxa"/>
              <w:right w:w="150" w:type="dxa"/>
            </w:tcMar>
          </w:tcPr>
          <w:p>
            <w:r>
              <w:rPr>
                <w:sz w:val="19"/>
              </w:rPr>
              <w:t>transactions.csv</w:t>
            </w:r>
          </w:p>
        </w:tc>
        <w:tc>
          <w:tcPr>
            <w:tcW w:type="dxa" w:w="1872"/>
            <w:shd w:fill="F2F5F8"/>
            <w:tcMar>
              <w:top w:w="80" w:type="dxa"/>
              <w:bottom w:w="80" w:type="dxa"/>
              <w:left w:w="150" w:type="dxa"/>
              <w:right w:w="150" w:type="dxa"/>
            </w:tcMar>
          </w:tcPr>
          <w:p>
            <w:r>
              <w:rPr>
                <w:sz w:val="19"/>
              </w:rPr>
              <w:t>6 x 7</w:t>
            </w:r>
          </w:p>
        </w:tc>
        <w:tc>
          <w:tcPr>
            <w:tcW w:type="dxa" w:w="1872"/>
            <w:shd w:fill="F2F5F8"/>
            <w:tcMar>
              <w:top w:w="80" w:type="dxa"/>
              <w:bottom w:w="80" w:type="dxa"/>
              <w:left w:w="150" w:type="dxa"/>
              <w:right w:w="150" w:type="dxa"/>
            </w:tcMar>
          </w:tcPr>
          <w:p>
            <w:r>
              <w:rPr>
                <w:sz w:val="19"/>
              </w:rPr>
              <w:t>transaction_id</w:t>
            </w:r>
          </w:p>
        </w:tc>
        <w:tc>
          <w:tcPr>
            <w:tcW w:type="dxa" w:w="1872"/>
            <w:shd w:fill="F2F5F8"/>
            <w:tcMar>
              <w:top w:w="80" w:type="dxa"/>
              <w:bottom w:w="80" w:type="dxa"/>
              <w:left w:w="150" w:type="dxa"/>
              <w:right w:w="150" w:type="dxa"/>
            </w:tcMar>
          </w:tcPr>
          <w:p>
            <w:r>
              <w:rPr>
                <w:sz w:val="19"/>
              </w:rPr>
              <w:t>object, int64, float64</w:t>
            </w:r>
          </w:p>
        </w:tc>
        <w:tc>
          <w:tcPr>
            <w:tcW w:type="dxa" w:w="1872"/>
            <w:shd w:fill="F2F5F8"/>
            <w:tcMar>
              <w:top w:w="80" w:type="dxa"/>
              <w:bottom w:w="80" w:type="dxa"/>
              <w:left w:w="150" w:type="dxa"/>
              <w:right w:w="150" w:type="dxa"/>
            </w:tcMar>
          </w:tcPr>
          <w:p>
            <w:r>
              <w:rPr>
                <w:b/>
                <w:color w:val="C0392B"/>
                <w:sz w:val="19"/>
              </w:rPr>
              <w:t>Dirty (Nulls &amp; Duplicates)</w:t>
            </w:r>
          </w:p>
        </w:tc>
      </w:tr>
      <w:tr>
        <w:tc>
          <w:tcPr>
            <w:tcW w:type="dxa" w:w="1872"/>
            <w:shd w:fill="FFFFFF"/>
            <w:tcMar>
              <w:top w:w="80" w:type="dxa"/>
              <w:bottom w:w="80" w:type="dxa"/>
              <w:left w:w="150" w:type="dxa"/>
              <w:right w:w="150" w:type="dxa"/>
            </w:tcMar>
          </w:tcPr>
          <w:p>
            <w:r>
              <w:rPr>
                <w:sz w:val="19"/>
              </w:rPr>
              <w:t>fund_managers.csv</w:t>
            </w:r>
          </w:p>
        </w:tc>
        <w:tc>
          <w:tcPr>
            <w:tcW w:type="dxa" w:w="1872"/>
            <w:shd w:fill="FFFFFF"/>
            <w:tcMar>
              <w:top w:w="80" w:type="dxa"/>
              <w:bottom w:w="80" w:type="dxa"/>
              <w:left w:w="150" w:type="dxa"/>
              <w:right w:w="150" w:type="dxa"/>
            </w:tcMar>
          </w:tcPr>
          <w:p>
            <w:r>
              <w:rPr>
                <w:sz w:val="19"/>
              </w:rPr>
              <w:t>4 x 4</w:t>
            </w:r>
          </w:p>
        </w:tc>
        <w:tc>
          <w:tcPr>
            <w:tcW w:type="dxa" w:w="1872"/>
            <w:shd w:fill="FFFFFF"/>
            <w:tcMar>
              <w:top w:w="80" w:type="dxa"/>
              <w:bottom w:w="80" w:type="dxa"/>
              <w:left w:w="150" w:type="dxa"/>
              <w:right w:w="150" w:type="dxa"/>
            </w:tcMar>
          </w:tcPr>
          <w:p>
            <w:r>
              <w:rPr>
                <w:sz w:val="19"/>
              </w:rPr>
              <w:t>manager_id</w:t>
            </w:r>
          </w:p>
        </w:tc>
        <w:tc>
          <w:tcPr>
            <w:tcW w:type="dxa" w:w="1872"/>
            <w:shd w:fill="FFFFFF"/>
            <w:tcMar>
              <w:top w:w="80" w:type="dxa"/>
              <w:bottom w:w="80" w:type="dxa"/>
              <w:left w:w="150" w:type="dxa"/>
              <w:right w:w="150" w:type="dxa"/>
            </w:tcMar>
          </w:tcPr>
          <w:p>
            <w:r>
              <w:rPr>
                <w:sz w:val="19"/>
              </w:rPr>
              <w:t>object, int64, object</w:t>
            </w:r>
          </w:p>
        </w:tc>
        <w:tc>
          <w:tcPr>
            <w:tcW w:type="dxa" w:w="1872"/>
            <w:shd w:fill="FFFFFF"/>
            <w:tcMar>
              <w:top w:w="80" w:type="dxa"/>
              <w:bottom w:w="80" w:type="dxa"/>
              <w:left w:w="150" w:type="dxa"/>
              <w:right w:w="150" w:type="dxa"/>
            </w:tcMar>
          </w:tcPr>
          <w:p>
            <w:r>
              <w:rPr>
                <w:color w:val="2E7D32"/>
                <w:sz w:val="19"/>
              </w:rPr>
              <w:t>Clean</w:t>
            </w:r>
          </w:p>
        </w:tc>
      </w:tr>
      <w:tr>
        <w:tc>
          <w:tcPr>
            <w:tcW w:type="dxa" w:w="1872"/>
            <w:shd w:fill="F2F5F8"/>
            <w:tcMar>
              <w:top w:w="80" w:type="dxa"/>
              <w:bottom w:w="80" w:type="dxa"/>
              <w:left w:w="150" w:type="dxa"/>
              <w:right w:w="150" w:type="dxa"/>
            </w:tcMar>
          </w:tcPr>
          <w:p>
            <w:r>
              <w:rPr>
                <w:sz w:val="19"/>
              </w:rPr>
              <w:t>portfolio_holdings.csv</w:t>
            </w:r>
          </w:p>
        </w:tc>
        <w:tc>
          <w:tcPr>
            <w:tcW w:type="dxa" w:w="1872"/>
            <w:shd w:fill="F2F5F8"/>
            <w:tcMar>
              <w:top w:w="80" w:type="dxa"/>
              <w:bottom w:w="80" w:type="dxa"/>
              <w:left w:w="150" w:type="dxa"/>
              <w:right w:w="150" w:type="dxa"/>
            </w:tcMar>
          </w:tcPr>
          <w:p>
            <w:r>
              <w:rPr>
                <w:sz w:val="19"/>
              </w:rPr>
              <w:t>5 x 5</w:t>
            </w:r>
          </w:p>
        </w:tc>
        <w:tc>
          <w:tcPr>
            <w:tcW w:type="dxa" w:w="1872"/>
            <w:shd w:fill="F2F5F8"/>
            <w:tcMar>
              <w:top w:w="80" w:type="dxa"/>
              <w:bottom w:w="80" w:type="dxa"/>
              <w:left w:w="150" w:type="dxa"/>
              <w:right w:w="150" w:type="dxa"/>
            </w:tcMar>
          </w:tcPr>
          <w:p>
            <w:r>
              <w:rPr>
                <w:sz w:val="19"/>
              </w:rPr>
              <w:t>holding_id</w:t>
            </w:r>
          </w:p>
        </w:tc>
        <w:tc>
          <w:tcPr>
            <w:tcW w:type="dxa" w:w="1872"/>
            <w:shd w:fill="F2F5F8"/>
            <w:tcMar>
              <w:top w:w="80" w:type="dxa"/>
              <w:bottom w:w="80" w:type="dxa"/>
              <w:left w:w="150" w:type="dxa"/>
              <w:right w:w="150" w:type="dxa"/>
            </w:tcMar>
          </w:tcPr>
          <w:p>
            <w:r>
              <w:rPr>
                <w:sz w:val="19"/>
              </w:rPr>
              <w:t>object, int64, float64</w:t>
            </w:r>
          </w:p>
        </w:tc>
        <w:tc>
          <w:tcPr>
            <w:tcW w:type="dxa" w:w="1872"/>
            <w:shd w:fill="F2F5F8"/>
            <w:tcMar>
              <w:top w:w="80" w:type="dxa"/>
              <w:bottom w:w="80" w:type="dxa"/>
              <w:left w:w="150" w:type="dxa"/>
              <w:right w:w="150" w:type="dxa"/>
            </w:tcMar>
          </w:tcPr>
          <w:p>
            <w:r>
              <w:rPr>
                <w:color w:val="2E7D32"/>
                <w:sz w:val="19"/>
              </w:rPr>
              <w:t>Clean</w:t>
            </w:r>
          </w:p>
        </w:tc>
      </w:tr>
      <w:tr>
        <w:tc>
          <w:tcPr>
            <w:tcW w:type="dxa" w:w="1872"/>
            <w:shd w:fill="FFFFFF"/>
            <w:tcMar>
              <w:top w:w="80" w:type="dxa"/>
              <w:bottom w:w="80" w:type="dxa"/>
              <w:left w:w="150" w:type="dxa"/>
              <w:right w:w="150" w:type="dxa"/>
            </w:tcMar>
          </w:tcPr>
          <w:p>
            <w:r>
              <w:rPr>
                <w:sz w:val="19"/>
              </w:rPr>
              <w:t>amc_details.csv</w:t>
            </w:r>
          </w:p>
        </w:tc>
        <w:tc>
          <w:tcPr>
            <w:tcW w:type="dxa" w:w="1872"/>
            <w:shd w:fill="FFFFFF"/>
            <w:tcMar>
              <w:top w:w="80" w:type="dxa"/>
              <w:bottom w:w="80" w:type="dxa"/>
              <w:left w:w="150" w:type="dxa"/>
              <w:right w:w="150" w:type="dxa"/>
            </w:tcMar>
          </w:tcPr>
          <w:p>
            <w:r>
              <w:rPr>
                <w:sz w:val="19"/>
              </w:rPr>
              <w:t>4 x 5</w:t>
            </w:r>
          </w:p>
        </w:tc>
        <w:tc>
          <w:tcPr>
            <w:tcW w:type="dxa" w:w="1872"/>
            <w:shd w:fill="FFFFFF"/>
            <w:tcMar>
              <w:top w:w="80" w:type="dxa"/>
              <w:bottom w:w="80" w:type="dxa"/>
              <w:left w:w="150" w:type="dxa"/>
              <w:right w:w="150" w:type="dxa"/>
            </w:tcMar>
          </w:tcPr>
          <w:p>
            <w:r>
              <w:rPr>
                <w:sz w:val="19"/>
              </w:rPr>
              <w:t>amc_id</w:t>
            </w:r>
          </w:p>
        </w:tc>
        <w:tc>
          <w:tcPr>
            <w:tcW w:type="dxa" w:w="1872"/>
            <w:shd w:fill="FFFFFF"/>
            <w:tcMar>
              <w:top w:w="80" w:type="dxa"/>
              <w:bottom w:w="80" w:type="dxa"/>
              <w:left w:w="150" w:type="dxa"/>
              <w:right w:w="150" w:type="dxa"/>
            </w:tcMar>
          </w:tcPr>
          <w:p>
            <w:r>
              <w:rPr>
                <w:sz w:val="19"/>
              </w:rPr>
              <w:t>object, int64, int64</w:t>
            </w:r>
          </w:p>
        </w:tc>
        <w:tc>
          <w:tcPr>
            <w:tcW w:type="dxa" w:w="1872"/>
            <w:shd w:fill="FFFFFF"/>
            <w:tcMar>
              <w:top w:w="80" w:type="dxa"/>
              <w:bottom w:w="80" w:type="dxa"/>
              <w:left w:w="150" w:type="dxa"/>
              <w:right w:w="150" w:type="dxa"/>
            </w:tcMar>
          </w:tcPr>
          <w:p>
            <w:r>
              <w:rPr>
                <w:color w:val="2E7D32"/>
                <w:sz w:val="19"/>
              </w:rPr>
              <w:t>Clean</w:t>
            </w:r>
          </w:p>
        </w:tc>
      </w:tr>
      <w:tr>
        <w:tc>
          <w:tcPr>
            <w:tcW w:type="dxa" w:w="1872"/>
            <w:shd w:fill="F2F5F8"/>
            <w:tcMar>
              <w:top w:w="80" w:type="dxa"/>
              <w:bottom w:w="80" w:type="dxa"/>
              <w:left w:w="150" w:type="dxa"/>
              <w:right w:w="150" w:type="dxa"/>
            </w:tcMar>
          </w:tcPr>
          <w:p>
            <w:r>
              <w:rPr>
                <w:sz w:val="19"/>
              </w:rPr>
              <w:t>expense_ratios.csv</w:t>
            </w:r>
          </w:p>
        </w:tc>
        <w:tc>
          <w:tcPr>
            <w:tcW w:type="dxa" w:w="1872"/>
            <w:shd w:fill="F2F5F8"/>
            <w:tcMar>
              <w:top w:w="80" w:type="dxa"/>
              <w:bottom w:w="80" w:type="dxa"/>
              <w:left w:w="150" w:type="dxa"/>
              <w:right w:w="150" w:type="dxa"/>
            </w:tcMar>
          </w:tcPr>
          <w:p>
            <w:r>
              <w:rPr>
                <w:sz w:val="19"/>
              </w:rPr>
              <w:t>4 x 4</w:t>
            </w:r>
          </w:p>
        </w:tc>
        <w:tc>
          <w:tcPr>
            <w:tcW w:type="dxa" w:w="1872"/>
            <w:shd w:fill="F2F5F8"/>
            <w:tcMar>
              <w:top w:w="80" w:type="dxa"/>
              <w:bottom w:w="80" w:type="dxa"/>
              <w:left w:w="150" w:type="dxa"/>
              <w:right w:w="150" w:type="dxa"/>
            </w:tcMar>
          </w:tcPr>
          <w:p>
            <w:r>
              <w:rPr>
                <w:sz w:val="19"/>
              </w:rPr>
              <w:t>amfi_code</w:t>
            </w:r>
          </w:p>
        </w:tc>
        <w:tc>
          <w:tcPr>
            <w:tcW w:type="dxa" w:w="1872"/>
            <w:shd w:fill="F2F5F8"/>
            <w:tcMar>
              <w:top w:w="80" w:type="dxa"/>
              <w:bottom w:w="80" w:type="dxa"/>
              <w:left w:w="150" w:type="dxa"/>
              <w:right w:w="150" w:type="dxa"/>
            </w:tcMar>
          </w:tcPr>
          <w:p>
            <w:r>
              <w:rPr>
                <w:sz w:val="19"/>
              </w:rPr>
              <w:t>int64, float64, float64</w:t>
            </w:r>
          </w:p>
        </w:tc>
        <w:tc>
          <w:tcPr>
            <w:tcW w:type="dxa" w:w="1872"/>
            <w:shd w:fill="F2F5F8"/>
            <w:tcMar>
              <w:top w:w="80" w:type="dxa"/>
              <w:bottom w:w="80" w:type="dxa"/>
              <w:left w:w="150" w:type="dxa"/>
              <w:right w:w="150" w:type="dxa"/>
            </w:tcMar>
          </w:tcPr>
          <w:p>
            <w:r>
              <w:rPr>
                <w:color w:val="2E7D32"/>
                <w:sz w:val="19"/>
              </w:rPr>
              <w:t>Clean</w:t>
            </w:r>
          </w:p>
        </w:tc>
      </w:tr>
      <w:tr>
        <w:tc>
          <w:tcPr>
            <w:tcW w:type="dxa" w:w="1872"/>
            <w:shd w:fill="FFFFFF"/>
            <w:tcMar>
              <w:top w:w="80" w:type="dxa"/>
              <w:bottom w:w="80" w:type="dxa"/>
              <w:left w:w="150" w:type="dxa"/>
              <w:right w:w="150" w:type="dxa"/>
            </w:tcMar>
          </w:tcPr>
          <w:p>
            <w:r>
              <w:rPr>
                <w:sz w:val="19"/>
              </w:rPr>
              <w:t>benchmarks.csv</w:t>
            </w:r>
          </w:p>
        </w:tc>
        <w:tc>
          <w:tcPr>
            <w:tcW w:type="dxa" w:w="1872"/>
            <w:shd w:fill="FFFFFF"/>
            <w:tcMar>
              <w:top w:w="80" w:type="dxa"/>
              <w:bottom w:w="80" w:type="dxa"/>
              <w:left w:w="150" w:type="dxa"/>
              <w:right w:w="150" w:type="dxa"/>
            </w:tcMar>
          </w:tcPr>
          <w:p>
            <w:r>
              <w:rPr>
                <w:sz w:val="19"/>
              </w:rPr>
              <w:t>4 x 3</w:t>
            </w:r>
          </w:p>
        </w:tc>
        <w:tc>
          <w:tcPr>
            <w:tcW w:type="dxa" w:w="1872"/>
            <w:shd w:fill="FFFFFF"/>
            <w:tcMar>
              <w:top w:w="80" w:type="dxa"/>
              <w:bottom w:w="80" w:type="dxa"/>
              <w:left w:w="150" w:type="dxa"/>
              <w:right w:w="150" w:type="dxa"/>
            </w:tcMar>
          </w:tcPr>
          <w:p>
            <w:r>
              <w:rPr>
                <w:sz w:val="19"/>
              </w:rPr>
              <w:t>benchmark_id</w:t>
            </w:r>
          </w:p>
        </w:tc>
        <w:tc>
          <w:tcPr>
            <w:tcW w:type="dxa" w:w="1872"/>
            <w:shd w:fill="FFFFFF"/>
            <w:tcMar>
              <w:top w:w="80" w:type="dxa"/>
              <w:bottom w:w="80" w:type="dxa"/>
              <w:left w:w="150" w:type="dxa"/>
              <w:right w:w="150" w:type="dxa"/>
            </w:tcMar>
          </w:tcPr>
          <w:p>
            <w:r>
              <w:rPr>
                <w:sz w:val="19"/>
              </w:rPr>
              <w:t>object, object, object</w:t>
            </w:r>
          </w:p>
        </w:tc>
        <w:tc>
          <w:tcPr>
            <w:tcW w:type="dxa" w:w="1872"/>
            <w:shd w:fill="FFFFFF"/>
            <w:tcMar>
              <w:top w:w="80" w:type="dxa"/>
              <w:bottom w:w="80" w:type="dxa"/>
              <w:left w:w="150" w:type="dxa"/>
              <w:right w:w="150" w:type="dxa"/>
            </w:tcMar>
          </w:tcPr>
          <w:p>
            <w:r>
              <w:rPr>
                <w:color w:val="2E7D32"/>
                <w:sz w:val="19"/>
              </w:rPr>
              <w:t>Clean</w:t>
            </w:r>
          </w:p>
        </w:tc>
      </w:tr>
      <w:tr>
        <w:tc>
          <w:tcPr>
            <w:tcW w:type="dxa" w:w="1872"/>
            <w:shd w:fill="F2F5F8"/>
            <w:tcMar>
              <w:top w:w="80" w:type="dxa"/>
              <w:bottom w:w="80" w:type="dxa"/>
              <w:left w:w="150" w:type="dxa"/>
              <w:right w:w="150" w:type="dxa"/>
            </w:tcMar>
          </w:tcPr>
          <w:p>
            <w:r>
              <w:rPr>
                <w:sz w:val="19"/>
              </w:rPr>
              <w:t>benchmark_history.csv</w:t>
            </w:r>
          </w:p>
        </w:tc>
        <w:tc>
          <w:tcPr>
            <w:tcW w:type="dxa" w:w="1872"/>
            <w:shd w:fill="F2F5F8"/>
            <w:tcMar>
              <w:top w:w="80" w:type="dxa"/>
              <w:bottom w:w="80" w:type="dxa"/>
              <w:left w:w="150" w:type="dxa"/>
              <w:right w:w="150" w:type="dxa"/>
            </w:tcMar>
          </w:tcPr>
          <w:p>
            <w:r>
              <w:rPr>
                <w:sz w:val="19"/>
              </w:rPr>
              <w:t>20 x 3</w:t>
            </w:r>
          </w:p>
        </w:tc>
        <w:tc>
          <w:tcPr>
            <w:tcW w:type="dxa" w:w="1872"/>
            <w:shd w:fill="F2F5F8"/>
            <w:tcMar>
              <w:top w:w="80" w:type="dxa"/>
              <w:bottom w:w="80" w:type="dxa"/>
              <w:left w:w="150" w:type="dxa"/>
              <w:right w:w="150" w:type="dxa"/>
            </w:tcMar>
          </w:tcPr>
          <w:p>
            <w:r>
              <w:rPr>
                <w:sz w:val="19"/>
              </w:rPr>
              <w:t>benchmark_id + date</w:t>
            </w:r>
          </w:p>
        </w:tc>
        <w:tc>
          <w:tcPr>
            <w:tcW w:type="dxa" w:w="1872"/>
            <w:shd w:fill="F2F5F8"/>
            <w:tcMar>
              <w:top w:w="80" w:type="dxa"/>
              <w:bottom w:w="80" w:type="dxa"/>
              <w:left w:w="150" w:type="dxa"/>
              <w:right w:w="150" w:type="dxa"/>
            </w:tcMar>
          </w:tcPr>
          <w:p>
            <w:r>
              <w:rPr>
                <w:sz w:val="19"/>
              </w:rPr>
              <w:t>object, object, float64</w:t>
            </w:r>
          </w:p>
        </w:tc>
        <w:tc>
          <w:tcPr>
            <w:tcW w:type="dxa" w:w="1872"/>
            <w:shd w:fill="F2F5F8"/>
            <w:tcMar>
              <w:top w:w="80" w:type="dxa"/>
              <w:bottom w:w="80" w:type="dxa"/>
              <w:left w:w="150" w:type="dxa"/>
              <w:right w:w="150" w:type="dxa"/>
            </w:tcMar>
          </w:tcPr>
          <w:p>
            <w:r>
              <w:rPr>
                <w:color w:val="2E7D32"/>
                <w:sz w:val="19"/>
              </w:rPr>
              <w:t>Clean</w:t>
            </w:r>
          </w:p>
        </w:tc>
      </w:tr>
    </w:tbl>
    <w:p>
      <w:pPr>
        <w:spacing w:before="480" w:after="120"/>
      </w:pPr>
      <w:r>
        <w:rPr>
          <w:b/>
          <w:color w:val="1F4E79"/>
          <w:sz w:val="28"/>
        </w:rPr>
        <w:t>3. Data Quality &amp; Anomalies Breakdown (The "Dirty" List)</w:t>
      </w:r>
    </w:p>
    <w:p>
      <w:r>
        <w:t>While profiling the files, I detected several anomalies that will cause issues down the road if we don't fix them. Here is exactly what I found:</w:t>
      </w:r>
    </w:p>
    <w:p>
      <w:pPr>
        <w:spacing w:before="160" w:after="80"/>
      </w:pPr>
      <w:r>
        <w:rPr>
          <w:b/>
          <w:color w:val="708090"/>
          <w:sz w:val="24"/>
        </w:rPr>
        <w:t>A. Missing (Null) Values</w:t>
      </w:r>
    </w:p>
    <w:p>
      <w:pPr>
        <w:pStyle w:val="ListBullet"/>
      </w:pPr>
      <w:r>
        <w:rPr>
          <w:b/>
        </w:rPr>
        <w:t xml:space="preserve">fund_master.csv: </w:t>
      </w:r>
      <w:r>
        <w:t xml:space="preserve">There is </w:t>
      </w:r>
      <w:r>
        <w:rPr>
          <w:b/>
        </w:rPr>
        <w:t>1 missing value</w:t>
      </w:r>
      <w:r>
        <w:t xml:space="preserve"> in the risk_grade column. It belongs to scheme 999999 ("Test Missing NAV Fund"). We should check if we can infer this or if it's just a dummy test record.</w:t>
      </w:r>
    </w:p>
    <w:p>
      <w:pPr>
        <w:pStyle w:val="ListBullet"/>
      </w:pPr>
      <w:r>
        <w:rPr>
          <w:b/>
        </w:rPr>
        <w:t xml:space="preserve">investors.csv: </w:t>
      </w:r>
      <w:r>
        <w:t xml:space="preserve">Investor INV004 ("Bharath V") is </w:t>
      </w:r>
      <w:r>
        <w:rPr>
          <w:b/>
        </w:rPr>
        <w:t>missing an email address</w:t>
      </w:r>
      <w:r>
        <w:t>. Since we might need this for communication or unique lookups, we should note it.</w:t>
      </w:r>
    </w:p>
    <w:p>
      <w:pPr>
        <w:pStyle w:val="ListBullet"/>
      </w:pPr>
      <w:r>
        <w:rPr>
          <w:b/>
        </w:rPr>
        <w:t xml:space="preserve">transactions.csv: </w:t>
      </w:r>
      <w:r>
        <w:t xml:space="preserve">Transaction TXN1004 is </w:t>
      </w:r>
      <w:r>
        <w:rPr>
          <w:b/>
        </w:rPr>
        <w:t>missing the units value</w:t>
      </w:r>
      <w:r>
        <w:t>. Luckily, we have the total transaction amount and can impute this by dividing the amount by the NAV value on the transaction date once we join the tables.</w:t>
      </w:r>
    </w:p>
    <w:p>
      <w:pPr>
        <w:spacing w:before="240" w:after="80"/>
      </w:pPr>
      <w:r>
        <w:rPr>
          <w:b/>
          <w:color w:val="708090"/>
          <w:sz w:val="24"/>
        </w:rPr>
        <w:t>B. Duplicate Records</w:t>
      </w:r>
    </w:p>
    <w:p>
      <w:pPr>
        <w:pStyle w:val="ListBullet"/>
      </w:pPr>
      <w:r>
        <w:rPr>
          <w:b/>
        </w:rPr>
        <w:t xml:space="preserve">fund_master.csv: </w:t>
      </w:r>
      <w:r>
        <w:t xml:space="preserve">Found </w:t>
      </w:r>
      <w:r>
        <w:rPr>
          <w:b/>
        </w:rPr>
        <w:t>1 duplicate row</w:t>
      </w:r>
      <w:r>
        <w:t xml:space="preserve"> for HDFC Top 100 Fund (amfi_code: 125497). It was written twice in the source.</w:t>
      </w:r>
    </w:p>
    <w:p>
      <w:pPr>
        <w:pStyle w:val="ListBullet"/>
      </w:pPr>
      <w:r>
        <w:rPr>
          <w:b/>
        </w:rPr>
        <w:t xml:space="preserve">transactions.csv: </w:t>
      </w:r>
      <w:r>
        <w:t xml:space="preserve">Transaction TXN1001 was </w:t>
      </w:r>
      <w:r>
        <w:rPr>
          <w:b/>
        </w:rPr>
        <w:t>duplicated</w:t>
      </w:r>
      <w:r>
        <w:t xml:space="preserve"> in the list. We need to drop this duplicate so we don't double-count sales or portfolio balances!</w:t>
      </w:r>
    </w:p>
    <w:p>
      <w:pPr>
        <w:spacing w:before="240" w:after="80"/>
      </w:pPr>
      <w:r>
        <w:rPr>
          <w:b/>
          <w:color w:val="708090"/>
          <w:sz w:val="24"/>
        </w:rPr>
        <w:t>C. Data Type and Format Inconsistencies</w:t>
      </w:r>
    </w:p>
    <w:p>
      <w:pPr>
        <w:pStyle w:val="ListBullet"/>
      </w:pPr>
      <w:r>
        <w:rPr>
          <w:b/>
        </w:rPr>
        <w:t xml:space="preserve">Date Fields Read as Strings: </w:t>
      </w:r>
      <w:r>
        <w:t>Currently, the date columns in nav_history.csv, investors.csv, transactions.csv, and benchmark_history.csv are being read as raw text objects. I'll need to parse these into actual datetime objects on Day 2 to allow proper sorting, grouping, and chronological analysis.</w:t>
      </w:r>
    </w:p>
    <w:p>
      <w:pPr>
        <w:pStyle w:val="ListBullet"/>
      </w:pPr>
      <w:r>
        <w:rPr>
          <w:b/>
        </w:rPr>
        <w:t xml:space="preserve">Mixed Date Formats: </w:t>
      </w:r>
      <w:r>
        <w:t>In nav_history.csv, a record for scheme 119551 was entered in the DD/MM/YYYY format, while everything else is in YYYY-MM-DD. This breaks basic string-based sorting and will cause date parsing to fail if we don't handle it with a flexible date parser.</w:t>
      </w:r>
    </w:p>
    <w:p>
      <w:pPr>
        <w:spacing w:before="360" w:after="120"/>
      </w:pPr>
      <w:r>
        <w:rPr>
          <w:b/>
          <w:color w:val="1F4E79"/>
          <w:sz w:val="28"/>
        </w:rPr>
        <w:t>4. AMFI Code Integrity &amp; Cross-Validation</w:t>
      </w:r>
    </w:p>
    <w:p>
      <w:r>
        <w:t>The AMFI Scheme Code is the unique 5-to-6 digit number assigned by the Association of Mutual Funds in India. It is our natural key to join the static fund metadata (like risk ratings, fund houses, categories) with price history or transactions.</w:t>
      </w:r>
    </w:p>
    <w:p>
      <w:r>
        <w:t>I ran a relational check between our fund_master.csv unique codes and our nav_history.csv unique codes. I found two integrity issues:</w:t>
      </w:r>
    </w:p>
    <w:p>
      <w:pPr>
        <w:pStyle w:val="ListBullet"/>
      </w:pPr>
      <w:r>
        <w:rPr>
          <w:b/>
        </w:rPr>
        <w:t xml:space="preserve">Orphan Master Code: </w:t>
      </w:r>
      <w:r>
        <w:t xml:space="preserve">AMFI Code 999999 ("Test Missing NAV Fund") exists in our fund master metadata but has </w:t>
      </w:r>
      <w:r>
        <w:rPr>
          <w:b/>
        </w:rPr>
        <w:t>no daily price entries</w:t>
      </w:r>
      <w:r>
        <w:t xml:space="preserve"> in nav_history.csv.</w:t>
      </w:r>
    </w:p>
    <w:p>
      <w:pPr>
        <w:pStyle w:val="ListBullet"/>
      </w:pPr>
      <w:r>
        <w:rPr>
          <w:b/>
        </w:rPr>
        <w:t xml:space="preserve">Orphan NAV History Code: </w:t>
      </w:r>
      <w:r>
        <w:t xml:space="preserve">AMFI Code 888888 has daily price values inside nav_history.csv but </w:t>
      </w:r>
      <w:r>
        <w:rPr>
          <w:b/>
        </w:rPr>
        <w:t>does not exist in fund_master.csv</w:t>
      </w:r>
      <w:r>
        <w:t>.</w:t>
      </w:r>
    </w:p>
    <w:tbl>
      <w:tblPr>
        <w:tblStyle w:val="TableGrid"/>
        <w:tblW w:type="auto" w:w="0"/>
        <w:tblLook w:firstColumn="1" w:firstRow="1" w:lastColumn="0" w:lastRow="0" w:noHBand="0" w:noVBand="1" w:val="04A0"/>
      </w:tblPr>
      <w:tblGrid>
        <w:gridCol w:w="9360"/>
      </w:tblGrid>
      <w:tr>
        <w:tc>
          <w:tcPr>
            <w:tcW w:type="dxa" w:w="9360"/>
            <w:shd w:fill="FDF2E9"/>
            <w:tcMar>
              <w:top w:w="150" w:type="dxa"/>
              <w:bottom w:w="150" w:type="dxa"/>
              <w:left w:w="200" w:type="dxa"/>
              <w:right w:w="200" w:type="dxa"/>
            </w:tcMar>
          </w:tcPr>
          <w:p>
            <w:pPr>
              <w:spacing w:after="0"/>
            </w:pPr>
            <w:r>
              <w:rPr>
                <w:b/>
                <w:color w:val="C0392B"/>
                <w:sz w:val="21"/>
              </w:rPr>
              <w:t>WARNING ON REFERENCE INTEGRITY:</w:t>
              <w:br/>
            </w:r>
            <w:r>
              <w:rPr>
                <w:sz w:val="20"/>
              </w:rPr>
              <w:t>If we run a basic INNER JOIN in our SQL staging tables later, these records will be silently dropped. If we run a LEFT JOIN on nav_history, the orphan codes will have null details. Tomorrow, I will write a cleanup routine to decide whether to prune them or populate dummy names for them.</w:t>
            </w:r>
          </w:p>
        </w:tc>
      </w:tr>
    </w:tbl>
    <w:p>
      <w:pPr>
        <w:spacing w:before="160"/>
      </w:pPr>
    </w:p>
    <w:p>
      <w:pPr>
        <w:spacing w:before="360" w:after="120"/>
      </w:pPr>
      <w:r>
        <w:rPr>
          <w:b/>
          <w:color w:val="1F4E79"/>
          <w:sz w:val="28"/>
        </w:rPr>
        <w:t>5. Live Ingestion Results from API (mfapi.in)</w:t>
      </w:r>
    </w:p>
    <w:p>
      <w:r>
        <w:t>I wrote a small API tool (live_nav_fetch.py) to connect to the open API at https://api.mfapi.in and grab the live and historical NAV record sets. The script was fully successful, fetched all 6 schemes, and saved them as clean, individual CSVs under data/raw/:</w:t>
      </w:r>
    </w:p>
    <w:p>
      <w:pPr>
        <w:pStyle w:val="ListBullet"/>
      </w:pPr>
      <w:r>
        <w:rPr>
          <w:b/>
        </w:rPr>
        <w:t>HDFC Top 100 Direct (125497)</w:t>
      </w:r>
      <w:r>
        <w:t xml:space="preserve"> -&gt; hdfc_top_100_direct_nav.csv (3,091 records)</w:t>
      </w:r>
    </w:p>
    <w:p>
      <w:pPr>
        <w:pStyle w:val="ListBullet"/>
      </w:pPr>
      <w:r>
        <w:rPr>
          <w:b/>
        </w:rPr>
        <w:t>SBI Bluechip (119551)</w:t>
      </w:r>
      <w:r>
        <w:t xml:space="preserve"> -&gt; sbi_bluechip_nav.csv (3,236 records)</w:t>
      </w:r>
    </w:p>
    <w:p>
      <w:pPr>
        <w:pStyle w:val="ListBullet"/>
      </w:pPr>
      <w:r>
        <w:rPr>
          <w:b/>
        </w:rPr>
        <w:t>ICICI Bluechip (120503)</w:t>
      </w:r>
      <w:r>
        <w:t xml:space="preserve"> -&gt; icici_bluechip_nav.csv (3,307 records)</w:t>
      </w:r>
    </w:p>
    <w:p>
      <w:pPr>
        <w:pStyle w:val="ListBullet"/>
      </w:pPr>
      <w:r>
        <w:rPr>
          <w:b/>
        </w:rPr>
        <w:t>Nippon Large Cap (118632)</w:t>
      </w:r>
      <w:r>
        <w:t xml:space="preserve"> -&gt; nippon_large_cap_nav.csv (3,298 records)</w:t>
      </w:r>
    </w:p>
    <w:p>
      <w:pPr>
        <w:pStyle w:val="ListBullet"/>
      </w:pPr>
      <w:r>
        <w:rPr>
          <w:b/>
        </w:rPr>
        <w:t>Axis Bluechip (119092)</w:t>
      </w:r>
      <w:r>
        <w:t xml:space="preserve"> -&gt; axis_bluechip_nav.csv (3,565 records)</w:t>
      </w:r>
    </w:p>
    <w:p>
      <w:pPr>
        <w:pStyle w:val="ListBullet"/>
      </w:pPr>
      <w:r>
        <w:rPr>
          <w:b/>
        </w:rPr>
        <w:t>Kotak Bluechip (120841)</w:t>
      </w:r>
      <w:r>
        <w:t xml:space="preserve"> -&gt; kotak_bluechip_nav.csv (3,301 records)</w:t>
      </w:r>
    </w:p>
    <w:p>
      <w:pPr>
        <w:spacing w:before="360" w:after="120"/>
      </w:pPr>
      <w:r>
        <w:rPr>
          <w:b/>
          <w:color w:val="1F4E79"/>
          <w:sz w:val="28"/>
        </w:rPr>
        <w:t>6. What's Next (Tomorrow's Cleanup Plan)</w:t>
      </w:r>
    </w:p>
    <w:p>
      <w:r>
        <w:t>To get these files ready for our database and dashboards, my plan for Day 2 is to:</w:t>
      </w:r>
    </w:p>
    <w:p>
      <w:pPr>
        <w:pStyle w:val="ListBullet"/>
      </w:pPr>
      <w:r>
        <w:rPr>
          <w:b/>
        </w:rPr>
        <w:t xml:space="preserve">Deduplicate: </w:t>
      </w:r>
      <w:r>
        <w:t>Clean up the duplicate rows in fund_master.csv and transactions.csv.</w:t>
      </w:r>
    </w:p>
    <w:p>
      <w:pPr>
        <w:pStyle w:val="ListBullet"/>
      </w:pPr>
      <w:r>
        <w:rPr>
          <w:b/>
        </w:rPr>
        <w:t xml:space="preserve">Harmonize Dates: </w:t>
      </w:r>
      <w:r>
        <w:t>Use a flexible parser to convert all date columns into standard YYYY-MM-DD datetime objects, fixing the mixed-format entry in NAV history.</w:t>
      </w:r>
    </w:p>
    <w:p>
      <w:pPr>
        <w:pStyle w:val="ListBullet"/>
      </w:pPr>
      <w:r>
        <w:rPr>
          <w:b/>
        </w:rPr>
        <w:t xml:space="preserve">Impute Missing Units: </w:t>
      </w:r>
      <w:r>
        <w:t>Look up the NAV for Transaction TXN1004 and calculate the missing unit count programmatically.</w:t>
      </w:r>
    </w:p>
    <w:p>
      <w:pPr>
        <w:pStyle w:val="ListBullet"/>
      </w:pPr>
      <w:r>
        <w:rPr>
          <w:b/>
        </w:rPr>
        <w:t xml:space="preserve">Align Keys: </w:t>
      </w:r>
      <w:r>
        <w:t>Address the orphan codes (999999 and 888888) so that our database queries execute cleanly with full referential integrity.</w:t>
      </w:r>
    </w:p>
    <w:p>
      <w:r>
        <w:t>Overall, the setup and ingestion went really well today. The data has a few typical real-world flaws, but they are all very manageable. Let me know if you have any questions or want me to tweak the cleaning plan for tomorrow!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