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b/>
          <w:color w:val="000000"/>
          <w:sz w:val="24"/>
        </w:rPr>
        <w:t>МИНИСТЕРСТВО НАУКИ И ВЫСШЕГО ОБРАЗОВАНИЯ РЕСПУБЛИКИ КАЗАХСТАН</w:t>
        <w:br/>
      </w:r>
      <w:r>
        <w:rPr>
          <w:rFonts w:ascii="Times New Roman" w:hAnsi="Times New Roman"/>
          <w:b/>
          <w:color w:val="000000"/>
          <w:sz w:val="24"/>
        </w:rPr>
        <w:t>НАО «КАРАГАНДИНСКИЙ ТЕХНИЧЕСКИЙ УНИВЕРСИТЕТ</w:t>
        <w:br/>
        <w:t>ИМЕНИ АБЫЛКАСА САГИНОВА»</w:t>
      </w:r>
    </w:p>
    <w:p>
      <w:pPr>
        <w:spacing w:before="1400"/>
      </w:pPr>
    </w:p>
    <w:p>
      <w:pPr>
        <w:spacing w:after="240"/>
        <w:jc w:val="center"/>
      </w:pPr>
      <w:r>
        <w:rPr>
          <w:rFonts w:ascii="Times New Roman" w:hAnsi="Times New Roman"/>
          <w:b/>
          <w:color w:val="000000"/>
          <w:sz w:val="26"/>
        </w:rPr>
        <w:t>НАУЧНЫЙ ДОКЛАД (РЕФЕРАТ)</w:t>
        <w:br/>
        <w:t>на Республиканский конкурс студенческих проектов и исследований</w:t>
      </w:r>
    </w:p>
    <w:p>
      <w:pPr>
        <w:spacing w:after="2000"/>
        <w:jc w:val="center"/>
      </w:pPr>
      <w:r>
        <w:rPr>
          <w:rFonts w:ascii="Times New Roman" w:hAnsi="Times New Roman"/>
          <w:b/>
          <w:color w:val="000000"/>
          <w:sz w:val="28"/>
        </w:rPr>
        <w:t>Тема: «РАЗРАБОТКА ПРЕВЕНТИВНОЙ ПЛАТФОРМЫ УПРАВЛЕНИЯ КРЕДИТНЫМИ РИСКАМИ И ОПТИМИЗАЦИИ РЕСТРУКТУРИЗАЦИИ НА ОСНОВЕ ЦИФРОВОГО ДВОЙНИКА (RISKTWIN)»</w:t>
      </w:r>
    </w:p>
    <w:p>
      <w:pPr>
        <w:spacing w:line="276" w:lineRule="auto" w:after="1800"/>
        <w:jc w:val="right"/>
      </w:pPr>
      <w:r>
        <w:rPr>
          <w:rFonts w:ascii="Times New Roman" w:hAnsi="Times New Roman"/>
          <w:color w:val="000000"/>
          <w:sz w:val="24"/>
        </w:rPr>
        <w:t>Выполнил: студент гр. ИС</w:t>
        <w:br/>
        <w:t>Сулейменов Ж.С.</w:t>
        <w:br/>
        <w:br/>
        <w:t>Научный руководитель:</w:t>
        <w:br/>
        <w:t>к.т.н., ассоциированный профессор</w:t>
        <w:br/>
        <w:t>Савченко Н.В.</w:t>
        <w:br/>
        <w:br/>
        <w:t>Тематический трек: AI for Finance</w:t>
      </w:r>
    </w:p>
    <w:p>
      <w:pPr>
        <w:spacing w:after="0"/>
        <w:jc w:val="center"/>
      </w:pPr>
      <w:r>
        <w:rPr>
          <w:rFonts w:ascii="Times New Roman" w:hAnsi="Times New Roman"/>
          <w:color w:val="000000"/>
          <w:sz w:val="24"/>
        </w:rPr>
        <w:t>Караганда — Астана, 2026</w:t>
      </w:r>
    </w:p>
    <w:p>
      <w:r>
        <w:br w:type="page"/>
      </w:r>
    </w:p>
    <w:p>
      <w:pPr>
        <w:spacing w:line="240" w:lineRule="auto" w:before="0" w:after="240"/>
        <w:ind w:firstLine="425"/>
        <w:jc w:val="both"/>
      </w:pPr>
      <w:r>
        <w:rPr>
          <w:rFonts w:ascii="Times New Roman" w:hAnsi="Times New Roman"/>
          <w:b/>
          <w:i w:val="0"/>
          <w:color w:val="000000"/>
          <w:sz w:val="28"/>
        </w:rPr>
        <w:t>СОДЕРЖАНИЕ</w:t>
      </w:r>
    </w:p>
    <w:p>
      <w:pPr>
        <w:tabs>
          <w:tab w:pos="9638" w:val="right" w:leader="dot"/>
        </w:tabs>
        <w:spacing w:line="240" w:lineRule="auto" w:before="40" w:after="40"/>
        <w:ind w:firstLine="425"/>
        <w:jc w:val="both"/>
      </w:pPr>
      <w:r>
        <w:rPr>
          <w:rFonts w:ascii="Times New Roman" w:hAnsi="Times New Roman"/>
          <w:color w:val="000000"/>
          <w:sz w:val="28"/>
        </w:rPr>
        <w:t>ВВЕДЕНИЕ</w:t>
      </w:r>
      <w:r>
        <w:rPr>
          <w:rFonts w:ascii="Times New Roman" w:hAnsi="Times New Roman"/>
          <w:color w:val="000000"/>
          <w:sz w:val="28"/>
        </w:rPr>
        <w:tab/>
        <w:t>3</w:t>
      </w:r>
    </w:p>
    <w:p>
      <w:pPr>
        <w:tabs>
          <w:tab w:pos="9638" w:val="right" w:leader="dot"/>
        </w:tabs>
        <w:spacing w:line="240" w:lineRule="auto" w:before="40" w:after="40"/>
        <w:ind w:firstLine="425"/>
        <w:jc w:val="both"/>
      </w:pPr>
      <w:r>
        <w:rPr>
          <w:rFonts w:ascii="Times New Roman" w:hAnsi="Times New Roman"/>
          <w:color w:val="000000"/>
          <w:sz w:val="28"/>
        </w:rPr>
        <w:t>1 АНАЛИЗ ПРОБЛЕМЫ И ОГРАНИЧЕНИЙ СОВРЕМЕННОГО КРЕДИТНОГО СКОРИНГА В БАНКОВСКОМ СЕКТОРЕ РЕСПУБЛИКИ КАЗАХСТАН</w:t>
      </w:r>
      <w:r>
        <w:rPr>
          <w:rFonts w:ascii="Times New Roman" w:hAnsi="Times New Roman"/>
          <w:color w:val="000000"/>
          <w:sz w:val="28"/>
        </w:rPr>
        <w:tab/>
        <w:t>5</w:t>
      </w:r>
    </w:p>
    <w:p>
      <w:pPr>
        <w:tabs>
          <w:tab w:pos="9638" w:val="right" w:leader="dot"/>
        </w:tabs>
        <w:spacing w:line="240" w:lineRule="auto" w:before="40" w:after="40"/>
        <w:ind w:firstLine="425"/>
        <w:jc w:val="both"/>
      </w:pPr>
      <w:r>
        <w:rPr>
          <w:rFonts w:ascii="Times New Roman" w:hAnsi="Times New Roman"/>
          <w:color w:val="000000"/>
          <w:sz w:val="28"/>
        </w:rPr>
        <w:t xml:space="preserve">    1.1 Макроэкономический контекст и динамика проблемной задолженности в РК</w:t>
      </w:r>
      <w:r>
        <w:rPr>
          <w:rFonts w:ascii="Times New Roman" w:hAnsi="Times New Roman"/>
          <w:color w:val="000000"/>
          <w:sz w:val="28"/>
        </w:rPr>
        <w:tab/>
        <w:t>5</w:t>
      </w:r>
    </w:p>
    <w:p>
      <w:pPr>
        <w:tabs>
          <w:tab w:pos="9638" w:val="right" w:leader="dot"/>
        </w:tabs>
        <w:spacing w:line="240" w:lineRule="auto" w:before="40" w:after="40"/>
        <w:ind w:firstLine="425"/>
        <w:jc w:val="both"/>
      </w:pPr>
      <w:r>
        <w:rPr>
          <w:rFonts w:ascii="Times New Roman" w:hAnsi="Times New Roman"/>
          <w:color w:val="000000"/>
          <w:sz w:val="28"/>
        </w:rPr>
        <w:t xml:space="preserve">    1.2 Запаздывание традиционных скоринговых систем и требования МСФО 9</w:t>
      </w:r>
      <w:r>
        <w:rPr>
          <w:rFonts w:ascii="Times New Roman" w:hAnsi="Times New Roman"/>
          <w:color w:val="000000"/>
          <w:sz w:val="28"/>
        </w:rPr>
        <w:tab/>
        <w:t>7</w:t>
      </w:r>
    </w:p>
    <w:p>
      <w:pPr>
        <w:tabs>
          <w:tab w:pos="9638" w:val="right" w:leader="dot"/>
        </w:tabs>
        <w:spacing w:line="240" w:lineRule="auto" w:before="40" w:after="40"/>
        <w:ind w:firstLine="425"/>
        <w:jc w:val="both"/>
      </w:pPr>
      <w:r>
        <w:rPr>
          <w:rFonts w:ascii="Times New Roman" w:hAnsi="Times New Roman"/>
          <w:color w:val="000000"/>
          <w:sz w:val="28"/>
        </w:rPr>
        <w:t>2 АРХИТЕКТУРА И МАТЕМАТИЧЕСКИЙ АППАРАТ ПЛАТФОРМЫ RISKTWIN</w:t>
      </w:r>
      <w:r>
        <w:rPr>
          <w:rFonts w:ascii="Times New Roman" w:hAnsi="Times New Roman"/>
          <w:color w:val="000000"/>
          <w:sz w:val="28"/>
        </w:rPr>
        <w:tab/>
        <w:t>9</w:t>
      </w:r>
    </w:p>
    <w:p>
      <w:pPr>
        <w:tabs>
          <w:tab w:pos="9638" w:val="right" w:leader="dot"/>
        </w:tabs>
        <w:spacing w:line="240" w:lineRule="auto" w:before="40" w:after="40"/>
        <w:ind w:firstLine="425"/>
        <w:jc w:val="both"/>
      </w:pPr>
      <w:r>
        <w:rPr>
          <w:rFonts w:ascii="Times New Roman" w:hAnsi="Times New Roman"/>
          <w:color w:val="000000"/>
          <w:sz w:val="28"/>
        </w:rPr>
        <w:t xml:space="preserve">    2.1 Концепция цифрового двойника и двухбашенная нейросетевая модель (Dual-Tower)</w:t>
      </w:r>
      <w:r>
        <w:rPr>
          <w:rFonts w:ascii="Times New Roman" w:hAnsi="Times New Roman"/>
          <w:color w:val="000000"/>
          <w:sz w:val="28"/>
        </w:rPr>
        <w:tab/>
        <w:t>9</w:t>
      </w:r>
    </w:p>
    <w:p>
      <w:pPr>
        <w:tabs>
          <w:tab w:pos="9638" w:val="right" w:leader="dot"/>
        </w:tabs>
        <w:spacing w:line="240" w:lineRule="auto" w:before="40" w:after="40"/>
        <w:ind w:firstLine="425"/>
        <w:jc w:val="both"/>
      </w:pPr>
      <w:r>
        <w:rPr>
          <w:rFonts w:ascii="Times New Roman" w:hAnsi="Times New Roman"/>
          <w:color w:val="000000"/>
          <w:sz w:val="28"/>
        </w:rPr>
        <w:t xml:space="preserve">    2.2 Механизм кросс-внимания (Cross-Attention) и считывание поведенческих маркеров</w:t>
      </w:r>
      <w:r>
        <w:rPr>
          <w:rFonts w:ascii="Times New Roman" w:hAnsi="Times New Roman"/>
          <w:color w:val="000000"/>
          <w:sz w:val="28"/>
        </w:rPr>
        <w:tab/>
        <w:t>11</w:t>
      </w:r>
    </w:p>
    <w:p>
      <w:pPr>
        <w:tabs>
          <w:tab w:pos="9638" w:val="right" w:leader="dot"/>
        </w:tabs>
        <w:spacing w:line="240" w:lineRule="auto" w:before="40" w:after="40"/>
        <w:ind w:firstLine="425"/>
        <w:jc w:val="both"/>
      </w:pPr>
      <w:r>
        <w:rPr>
          <w:rFonts w:ascii="Times New Roman" w:hAnsi="Times New Roman"/>
          <w:color w:val="000000"/>
          <w:sz w:val="28"/>
        </w:rPr>
        <w:t xml:space="preserve">    2.3 Математическое моделирование кассового разрыва (Survival Analysis) и алгоритм солвера</w:t>
      </w:r>
      <w:r>
        <w:rPr>
          <w:rFonts w:ascii="Times New Roman" w:hAnsi="Times New Roman"/>
          <w:color w:val="000000"/>
          <w:sz w:val="28"/>
        </w:rPr>
        <w:tab/>
        <w:t>13</w:t>
      </w:r>
    </w:p>
    <w:p>
      <w:pPr>
        <w:tabs>
          <w:tab w:pos="9638" w:val="right" w:leader="dot"/>
        </w:tabs>
        <w:spacing w:line="240" w:lineRule="auto" w:before="40" w:after="40"/>
        <w:ind w:firstLine="425"/>
        <w:jc w:val="both"/>
      </w:pPr>
      <w:r>
        <w:rPr>
          <w:rFonts w:ascii="Times New Roman" w:hAnsi="Times New Roman"/>
          <w:color w:val="000000"/>
          <w:sz w:val="28"/>
        </w:rPr>
        <w:t>3 ЭКСПЕРИМЕНТАЛЬНЫЕ ИССЛЕДОВАНИЯ И ОЦЕНКА ЭФФЕКТИВНОСТИ</w:t>
      </w:r>
      <w:r>
        <w:rPr>
          <w:rFonts w:ascii="Times New Roman" w:hAnsi="Times New Roman"/>
          <w:color w:val="000000"/>
          <w:sz w:val="28"/>
        </w:rPr>
        <w:tab/>
        <w:t>15</w:t>
      </w:r>
    </w:p>
    <w:p>
      <w:pPr>
        <w:tabs>
          <w:tab w:pos="9638" w:val="right" w:leader="dot"/>
        </w:tabs>
        <w:spacing w:line="240" w:lineRule="auto" w:before="40" w:after="40"/>
        <w:ind w:firstLine="425"/>
        <w:jc w:val="both"/>
      </w:pPr>
      <w:r>
        <w:rPr>
          <w:rFonts w:ascii="Times New Roman" w:hAnsi="Times New Roman"/>
          <w:color w:val="000000"/>
          <w:sz w:val="28"/>
        </w:rPr>
        <w:t xml:space="preserve">    3.1 Описание датасета Home Credit Default Risk и синтетической стресс-симуляции</w:t>
      </w:r>
      <w:r>
        <w:rPr>
          <w:rFonts w:ascii="Times New Roman" w:hAnsi="Times New Roman"/>
          <w:color w:val="000000"/>
          <w:sz w:val="28"/>
        </w:rPr>
        <w:tab/>
        <w:t>15</w:t>
      </w:r>
    </w:p>
    <w:p>
      <w:pPr>
        <w:tabs>
          <w:tab w:pos="9638" w:val="right" w:leader="dot"/>
        </w:tabs>
        <w:spacing w:line="240" w:lineRule="auto" w:before="40" w:after="40"/>
        <w:ind w:firstLine="425"/>
        <w:jc w:val="both"/>
      </w:pPr>
      <w:r>
        <w:rPr>
          <w:rFonts w:ascii="Times New Roman" w:hAnsi="Times New Roman"/>
          <w:color w:val="000000"/>
          <w:sz w:val="28"/>
        </w:rPr>
        <w:t xml:space="preserve">    3.2 Результаты валидации моделей и сравнительные метрики качества (AUC-ROC, MAE)</w:t>
      </w:r>
      <w:r>
        <w:rPr>
          <w:rFonts w:ascii="Times New Roman" w:hAnsi="Times New Roman"/>
          <w:color w:val="000000"/>
          <w:sz w:val="28"/>
        </w:rPr>
        <w:tab/>
        <w:t>17</w:t>
      </w:r>
    </w:p>
    <w:p>
      <w:pPr>
        <w:tabs>
          <w:tab w:pos="9638" w:val="right" w:leader="dot"/>
        </w:tabs>
        <w:spacing w:line="240" w:lineRule="auto" w:before="40" w:after="40"/>
        <w:ind w:firstLine="425"/>
        <w:jc w:val="both"/>
      </w:pPr>
      <w:r>
        <w:rPr>
          <w:rFonts w:ascii="Times New Roman" w:hAnsi="Times New Roman"/>
          <w:color w:val="000000"/>
          <w:sz w:val="28"/>
        </w:rPr>
        <w:t xml:space="preserve">    3.3 Экономический эффект внедрения для коммерческих банков Казахстана</w:t>
      </w:r>
      <w:r>
        <w:rPr>
          <w:rFonts w:ascii="Times New Roman" w:hAnsi="Times New Roman"/>
          <w:color w:val="000000"/>
          <w:sz w:val="28"/>
        </w:rPr>
        <w:tab/>
        <w:t>19</w:t>
      </w:r>
    </w:p>
    <w:p>
      <w:pPr>
        <w:tabs>
          <w:tab w:pos="9638" w:val="right" w:leader="dot"/>
        </w:tabs>
        <w:spacing w:line="240" w:lineRule="auto" w:before="40" w:after="40"/>
        <w:ind w:firstLine="425"/>
        <w:jc w:val="both"/>
      </w:pPr>
      <w:r>
        <w:rPr>
          <w:rFonts w:ascii="Times New Roman" w:hAnsi="Times New Roman"/>
          <w:color w:val="000000"/>
          <w:sz w:val="28"/>
        </w:rPr>
        <w:t>ЗАКЛЮЧЕНИЕ</w:t>
      </w:r>
      <w:r>
        <w:rPr>
          <w:rFonts w:ascii="Times New Roman" w:hAnsi="Times New Roman"/>
          <w:color w:val="000000"/>
          <w:sz w:val="28"/>
        </w:rPr>
        <w:tab/>
        <w:t>21</w:t>
      </w:r>
    </w:p>
    <w:p>
      <w:pPr>
        <w:tabs>
          <w:tab w:pos="9638" w:val="right" w:leader="dot"/>
        </w:tabs>
        <w:spacing w:line="240" w:lineRule="auto" w:before="40" w:after="40"/>
        <w:ind w:firstLine="425"/>
        <w:jc w:val="both"/>
      </w:pPr>
      <w:r>
        <w:rPr>
          <w:rFonts w:ascii="Times New Roman" w:hAnsi="Times New Roman"/>
          <w:color w:val="000000"/>
          <w:sz w:val="28"/>
        </w:rPr>
        <w:t>СПИСОК ИСПОЛЬЗОВАННОЙ ЛИТЕРАТУРЫ</w:t>
      </w:r>
      <w:r>
        <w:rPr>
          <w:rFonts w:ascii="Times New Roman" w:hAnsi="Times New Roman"/>
          <w:color w:val="000000"/>
          <w:sz w:val="28"/>
        </w:rPr>
        <w:tab/>
        <w:t>23</w:t>
      </w:r>
    </w:p>
    <w:p>
      <w:r>
        <w:br w:type="page"/>
      </w:r>
    </w:p>
    <w:p>
      <w:pPr>
        <w:spacing w:line="240" w:lineRule="auto" w:before="0" w:after="240"/>
        <w:ind w:firstLine="425"/>
        <w:jc w:val="both"/>
      </w:pPr>
      <w:r>
        <w:rPr>
          <w:rFonts w:ascii="Times New Roman" w:hAnsi="Times New Roman"/>
          <w:b/>
          <w:i w:val="0"/>
          <w:color w:val="000000"/>
          <w:sz w:val="28"/>
        </w:rPr>
        <w:t>ВВЕДЕНИЕ</w:t>
      </w:r>
    </w:p>
    <w:p>
      <w:pPr>
        <w:spacing w:line="240" w:lineRule="auto" w:before="0" w:after="0"/>
        <w:ind w:firstLine="425"/>
        <w:jc w:val="both"/>
      </w:pPr>
      <w:r>
        <w:rPr>
          <w:rFonts w:ascii="Times New Roman" w:hAnsi="Times New Roman"/>
          <w:b w:val="0"/>
          <w:i w:val="0"/>
          <w:color w:val="000000"/>
          <w:sz w:val="28"/>
        </w:rPr>
        <w:t>Актуальность темы исследования. В современных условиях цифровизации финансово-банковского сектора Республики Казахстан проблема управления розничными кредитными рисками приобретает первостепенное значение. По данным Национального Банка Республики Казахстан и Агентства Республики Казахстан по регулированию и развитию финансового рынка (АРРФР), совокупный объем кредитования физических лиц превысил 19 трлн тенге, а общее количество активных розничных заемщиков достигло более 8,5 млн человек [1]. Стремительный рост рынка потребительских займов неизбежно сопровождается обострением проблемы проблемной задолженности (Non-Performing Loans, NPL) и ухудшением кредитоспособности населения.</w:t>
      </w:r>
    </w:p>
    <w:p>
      <w:pPr>
        <w:spacing w:line="240" w:lineRule="auto" w:before="0" w:after="0"/>
        <w:ind w:firstLine="425"/>
        <w:jc w:val="both"/>
      </w:pPr>
      <w:r>
        <w:rPr>
          <w:rFonts w:ascii="Times New Roman" w:hAnsi="Times New Roman"/>
          <w:b w:val="0"/>
          <w:i w:val="0"/>
          <w:color w:val="000000"/>
          <w:sz w:val="28"/>
        </w:rPr>
        <w:t>Фундаментальное противоречие современной банковской практики заключается в ретроспективном характере используемых аналитических инструментов. Традиционные кредитные скоринговые модели, построенные на базе классических статистических карт (логистическая регрессия, градиентный бустинг по данным кредитных отчетов ГКБ), эффективны исключительно на этапе выдачи кредита. В период обслуживания долга банки переходят в пассивный режим ожидания и фиксируют ухудшение финансового положения заемщика лишь постфактум — в момент возникновения первой реальной просрочки (Day 1+ DPD). Согласно международному стандарту финансовой отчетности МСФО 9 (IFRS 9), при наступлении просрочки свыше 30 дней банк обязан реклассифицировать кредит во 2-ю стадию (Stage 2) со значительным увеличением резервов под кредитные убытки, а при просрочке 90+ дней (Stage 3) — замораживать до 100% провизий от тела займа [2].</w:t>
      </w:r>
    </w:p>
    <w:p>
      <w:pPr>
        <w:spacing w:line="240" w:lineRule="auto" w:before="0" w:after="0"/>
        <w:ind w:firstLine="425"/>
        <w:jc w:val="both"/>
      </w:pPr>
      <w:r>
        <w:rPr>
          <w:rFonts w:ascii="Times New Roman" w:hAnsi="Times New Roman"/>
          <w:b w:val="0"/>
          <w:i w:val="0"/>
          <w:color w:val="000000"/>
          <w:sz w:val="28"/>
        </w:rPr>
        <w:t>Применение традиционных методов урегулирования задолженности (судебные иски, передача в коллекторские агентства, принудительная блокировка счетов) является не только экономически неэффективным (прямые затраты на взыскание достигают 20–30% от суммы долга), но и социально деструктивным, разрушая лояльность клиентов к финансовому институту [3]. Возникает острая необходимость в принципиально новом классе превентивных систем раннего предупреждения (Early Warning Systems, EWS), способных заблаговременно обнаруживать скрытый стресс заемщика до наступления просрочки.</w:t>
      </w:r>
    </w:p>
    <w:p>
      <w:pPr>
        <w:spacing w:line="240" w:lineRule="auto" w:before="0" w:after="0"/>
        <w:ind w:firstLine="425"/>
        <w:jc w:val="both"/>
      </w:pPr>
      <w:r>
        <w:rPr>
          <w:rFonts w:ascii="Times New Roman" w:hAnsi="Times New Roman"/>
          <w:b w:val="0"/>
          <w:i w:val="0"/>
          <w:color w:val="000000"/>
          <w:sz w:val="28"/>
        </w:rPr>
        <w:t>Цель исследования — разработка и экспериментальная валидация интеллектуальной платформы «RiskTwin» на основе цифрового двойника заемщика и гибридной архитектуры Neuro-Symbolic AI для раннего выявления кассовых разрывов за 30 дней до дефолта и автоматической генерации персонализированных программ превентивной реструктуризации.</w:t>
      </w:r>
    </w:p>
    <w:p>
      <w:pPr>
        <w:spacing w:line="240" w:lineRule="auto" w:before="0" w:after="0"/>
        <w:ind w:firstLine="425"/>
        <w:jc w:val="both"/>
      </w:pPr>
      <w:r>
        <w:rPr>
          <w:rFonts w:ascii="Times New Roman" w:hAnsi="Times New Roman"/>
          <w:b w:val="0"/>
          <w:i w:val="0"/>
          <w:color w:val="000000"/>
          <w:sz w:val="28"/>
        </w:rPr>
        <w:t>Для достижения поставленной цели были сформулированы и решены следующие задачи:</w:t>
        <w:br/>
        <w:t>1. Провести системный анализ существующих методов оценки кредитного риска и выявить факторы запаздывания традиционных систем мониторинга задолженности в контексте стандартов МСФО 9 и требований АРРФР [4].</w:t>
        <w:br/>
        <w:t>2. Разработать концептуальную модель цифрового двойника кредитного риска, объединяющую транзакционные показатели клиента с пассивными биоповеденческими маркерами психоэмоционального стресса в ДБО.</w:t>
        <w:br/>
        <w:t>3. Спроектировать двухбашенную архитектуру глубокой нейросети (Dual-Tower Cross-Attention Network) для извлечения нелинейных взаимосвязей между финансовым дефицитом и поведенческими кризисными паттернами.</w:t>
        <w:br/>
        <w:t>4. Разработать алгоритм прогнозирования оставшегося срока до кассового разрыва (Survival Analysis) и многокритериальный математический солвер оптимальной преструктуризации долга.</w:t>
        <w:br/>
        <w:t>5. Провести экспериментальную оценку качества моделей на выборке Home Credit Default Risk и синтетических стресс-сценариях, рассчитать экономический эффект от внедрения платформы для коммерческих банков Казахстана.</w:t>
      </w:r>
    </w:p>
    <w:p>
      <w:pPr>
        <w:spacing w:line="240" w:lineRule="auto" w:before="0" w:after="0"/>
        <w:ind w:firstLine="425"/>
        <w:jc w:val="both"/>
      </w:pPr>
      <w:r>
        <w:rPr>
          <w:rFonts w:ascii="Times New Roman" w:hAnsi="Times New Roman"/>
          <w:b w:val="0"/>
          <w:i w:val="0"/>
          <w:color w:val="000000"/>
          <w:sz w:val="28"/>
        </w:rPr>
        <w:t>Объект исследования — процессы оценки кредитного риска и превентивного урегулирования задолженности розничных заемщиков в коммерческих банках второго уровня Республики Казахстан.</w:t>
      </w:r>
    </w:p>
    <w:p>
      <w:pPr>
        <w:spacing w:line="240" w:lineRule="auto" w:before="0" w:after="0"/>
        <w:ind w:firstLine="425"/>
        <w:jc w:val="both"/>
      </w:pPr>
      <w:r>
        <w:rPr>
          <w:rFonts w:ascii="Times New Roman" w:hAnsi="Times New Roman"/>
          <w:b w:val="0"/>
          <w:i w:val="0"/>
          <w:color w:val="000000"/>
          <w:sz w:val="28"/>
        </w:rPr>
        <w:t>Предмет исследования — методы машинного обучения, алгоритмы кросс-внимания, модели анализа выживаемости и многокритериальной оптимизации в задачах превентивного кредитного риск-менеджмента.</w:t>
      </w:r>
    </w:p>
    <w:p>
      <w:pPr>
        <w:spacing w:line="240" w:lineRule="auto" w:before="0" w:after="0"/>
        <w:ind w:firstLine="425"/>
        <w:jc w:val="both"/>
      </w:pPr>
      <w:r>
        <w:rPr>
          <w:rFonts w:ascii="Times New Roman" w:hAnsi="Times New Roman"/>
          <w:b w:val="0"/>
          <w:i w:val="0"/>
          <w:color w:val="000000"/>
          <w:sz w:val="28"/>
        </w:rPr>
        <w:t>Научная новизна работы заключается в разработке гибридного нейро-символьного подхода к моделированию кредитного риска, позволяющего объединить глубокие эмбеддинги неструктурированного цифрового следа заемщика с жесткими формальными ограничениями регулятора, а также в создании математического солвера автоматического синтеза превентивных решений.</w:t>
      </w:r>
    </w:p>
    <w:p>
      <w:r>
        <w:br w:type="page"/>
      </w:r>
    </w:p>
    <w:p>
      <w:pPr>
        <w:spacing w:line="240" w:lineRule="auto" w:before="0" w:after="240"/>
        <w:ind w:firstLine="425"/>
        <w:jc w:val="both"/>
      </w:pPr>
      <w:r>
        <w:rPr>
          <w:rFonts w:ascii="Times New Roman" w:hAnsi="Times New Roman"/>
          <w:b/>
          <w:i w:val="0"/>
          <w:color w:val="000000"/>
          <w:sz w:val="28"/>
        </w:rPr>
        <w:t>1 АНАЛИЗ ПРОБЛЕМЫ И ОГРАНИЧЕНИЙ СОВРЕМЕННОГО КРЕДИТНОГО СКОРИНГА В БАНКОВСКОМ СЕКТОРЕ РЕСПУБЛИКИ КАЗАХСТАН</w:t>
      </w:r>
    </w:p>
    <w:p>
      <w:pPr>
        <w:spacing w:line="240" w:lineRule="auto" w:before="240" w:after="120"/>
        <w:ind w:firstLine="425"/>
        <w:jc w:val="both"/>
      </w:pPr>
      <w:r>
        <w:rPr>
          <w:rFonts w:ascii="Times New Roman" w:hAnsi="Times New Roman"/>
          <w:b/>
          <w:i w:val="0"/>
          <w:color w:val="000000"/>
          <w:sz w:val="28"/>
        </w:rPr>
        <w:t>1.1 Макроэкономический контекст и динамика проблемной задолженности в РК</w:t>
      </w:r>
    </w:p>
    <w:p>
      <w:pPr>
        <w:spacing w:line="240" w:lineRule="auto" w:before="0" w:after="0"/>
        <w:ind w:firstLine="425"/>
        <w:jc w:val="both"/>
      </w:pPr>
      <w:r>
        <w:rPr>
          <w:rFonts w:ascii="Times New Roman" w:hAnsi="Times New Roman"/>
          <w:b w:val="0"/>
          <w:i w:val="0"/>
          <w:color w:val="000000"/>
          <w:sz w:val="28"/>
        </w:rPr>
        <w:t>Банковский сектор Республики Казахстан демонстрирует устойчивые темпы технологической трансформации. Внедрение открытого банкинга, биометрической идентификации и мобильных платформ дистанционного банковского обслуживания (ДБО) позволило перевести свыше 85% розничных операций в цифровой канал [5]. Однако высокая скорость и доступность кредитования привели к росту закредитованности: среднее количество действующих кредитов на одного экономически активного заемщика возросло с 1,8 до 3,2 займа [1].</w:t>
      </w:r>
    </w:p>
    <w:p>
      <w:pPr>
        <w:spacing w:line="240" w:lineRule="auto" w:before="0" w:after="0"/>
        <w:ind w:firstLine="425"/>
        <w:jc w:val="both"/>
      </w:pPr>
      <w:r>
        <w:rPr>
          <w:rFonts w:ascii="Times New Roman" w:hAnsi="Times New Roman"/>
          <w:b w:val="0"/>
          <w:i w:val="0"/>
          <w:color w:val="000000"/>
          <w:sz w:val="28"/>
        </w:rPr>
        <w:t>Согласно нормативным документам АРРФР, ключевым индикатором устойчивости финансовой системы выступает доля неработающих займов (NPL 90+), а также показатель долговой нагрузки заемщика (Debt Service-to-Income, DSTI), предельное значение которого ограничено 50% [6]. Несмотря на регуляторные меры, внешние макроэкономические шоки (волатильность курса национальной валюты, инфляционные колебания, структурные изменения на рынке труда) приводят к возникновению кассовых разрывов у добросовестных клиентов. В условиях внезапного снижения располагаемого дохода заемщик оказывается не в состоянии обслуживать кредитные обязательства в прежнем объеме [7].</w:t>
      </w:r>
    </w:p>
    <w:p>
      <w:pPr>
        <w:spacing w:line="240" w:lineRule="auto" w:before="240" w:after="120"/>
        <w:ind w:firstLine="425"/>
        <w:jc w:val="both"/>
      </w:pPr>
      <w:r>
        <w:rPr>
          <w:rFonts w:ascii="Times New Roman" w:hAnsi="Times New Roman"/>
          <w:b/>
          <w:i w:val="0"/>
          <w:color w:val="000000"/>
          <w:sz w:val="28"/>
        </w:rPr>
        <w:t>1.2 Запаздывание традиционных скоринговых систем и требования МСФО 9</w:t>
      </w:r>
    </w:p>
    <w:p>
      <w:pPr>
        <w:spacing w:line="240" w:lineRule="auto" w:before="0" w:after="0"/>
        <w:ind w:firstLine="425"/>
        <w:jc w:val="both"/>
      </w:pPr>
      <w:r>
        <w:rPr>
          <w:rFonts w:ascii="Times New Roman" w:hAnsi="Times New Roman"/>
          <w:b w:val="0"/>
          <w:i w:val="0"/>
          <w:color w:val="000000"/>
          <w:sz w:val="28"/>
        </w:rPr>
        <w:t>Существующая в банках методология мониторинга кредитного риска базируется на регламенте МСФО 9, согласно которому кредитный портфель разделяется на три корзины кредитного качества (Stages) [2]:</w:t>
        <w:br/>
        <w:t>• Стадия 1 (Stage 1 — Performing): кредиты без признаков существенного увеличения кредитного риска (SICR). Резервы формируются исходя из 12-месячных ожидаемых кредитных потерь (ECL);</w:t>
        <w:br/>
        <w:t>• Стадия 2 (Stage 2 — Underperforming): кредиты с существенным увеличением риска, но без дефолта (просрочка 31–90 DPD). Резервы начисляются на весь оставшийся срок действия договора (Lifetime ECL), что приводит к резкому замораживанию ликвидности банка;</w:t>
        <w:br/>
        <w:t>• Стадия 3 (Stage 3 — Non-performing / Default): кредиты с дефолтом (просрочка свыше 90 DPD), требующие полного списания или формирования 100% провизий.</w:t>
      </w:r>
    </w:p>
    <w:p>
      <w:pPr>
        <w:spacing w:line="240" w:lineRule="auto" w:before="0" w:after="0"/>
        <w:ind w:firstLine="425"/>
        <w:jc w:val="both"/>
      </w:pPr>
      <w:r>
        <w:rPr>
          <w:rFonts w:ascii="Times New Roman" w:hAnsi="Times New Roman"/>
          <w:b w:val="0"/>
          <w:i w:val="0"/>
          <w:color w:val="000000"/>
          <w:sz w:val="28"/>
        </w:rPr>
        <w:t>Ключевая уязвимость данной схемы представлена на рисунке 1. Традиционные скоринговые модели и отчеты ГКБ фиксируют событие дефолта с временным лагом от 30 до 90 календарных дней [8]. В период между реальным возникновением жизненного кризиса (потеря работы, болезнь) и формальной просрочкой клиент проходит через стадию скрытого стресса. В этот период заемщик активно ищет финансирование: оформляет краткосрочные займы в микрофинансовых организациях (МФО), совершает хаотичные ночные входы в ДБО, сокращает базовые потребительские расходы. Традиционный скоринг банка классифицирует такого клиента как высоконадежного (Класс AAA), поскольку просрочка по графику еще не наступила [9].</w:t>
      </w:r>
    </w:p>
    <w:p>
      <w:pPr>
        <w:spacing w:line="240" w:lineRule="auto" w:before="0" w:after="0"/>
        <w:ind w:firstLine="425"/>
        <w:jc w:val="both"/>
      </w:pPr>
      <w:r>
        <w:rPr>
          <w:rFonts w:ascii="Times New Roman" w:hAnsi="Times New Roman"/>
          <w:b w:val="0"/>
          <w:i w:val="0"/>
          <w:color w:val="000000"/>
          <w:sz w:val="28"/>
        </w:rPr>
        <w:t>В результате банк упускает так называемое «золотое окно спасения» (длительностью 30–45 дней), когда своевременная превентивная корректировка графика выплат (снижение ежемесячного платежа, отсрочка) позволяет полностью предотвратить дефолт. Вместо этого банк переходит к запоздалым мерам штрафов и коллекторского взыскания, превращая временную неликвидность заемщика в безнадежный дефолт [10].</w:t>
      </w:r>
    </w:p>
    <w:p>
      <w:r>
        <w:br w:type="page"/>
      </w:r>
    </w:p>
    <w:p>
      <w:pPr>
        <w:spacing w:line="240" w:lineRule="auto" w:before="0" w:after="240"/>
        <w:ind w:firstLine="425"/>
        <w:jc w:val="both"/>
      </w:pPr>
      <w:r>
        <w:rPr>
          <w:rFonts w:ascii="Times New Roman" w:hAnsi="Times New Roman"/>
          <w:b/>
          <w:i w:val="0"/>
          <w:color w:val="000000"/>
          <w:sz w:val="28"/>
        </w:rPr>
        <w:t>2 АРХИТЕКТУРА И МАТЕМАТИЧЕСКИЙ АППАРАТ ПЛАТФОРМЫ RISKTWIN</w:t>
      </w:r>
    </w:p>
    <w:p>
      <w:pPr>
        <w:spacing w:line="240" w:lineRule="auto" w:before="240" w:after="120"/>
        <w:ind w:firstLine="425"/>
        <w:jc w:val="both"/>
      </w:pPr>
      <w:r>
        <w:rPr>
          <w:rFonts w:ascii="Times New Roman" w:hAnsi="Times New Roman"/>
          <w:b/>
          <w:i w:val="0"/>
          <w:color w:val="000000"/>
          <w:sz w:val="28"/>
        </w:rPr>
        <w:t>2.1 Концепция цифрового двойника и двухбашенная нейросетевая модель (Dual-Tower)</w:t>
      </w:r>
    </w:p>
    <w:p>
      <w:pPr>
        <w:spacing w:line="240" w:lineRule="auto" w:before="0" w:after="0"/>
        <w:ind w:firstLine="425"/>
        <w:jc w:val="both"/>
      </w:pPr>
      <w:r>
        <w:rPr>
          <w:rFonts w:ascii="Times New Roman" w:hAnsi="Times New Roman"/>
          <w:b w:val="0"/>
          <w:i w:val="0"/>
          <w:color w:val="000000"/>
          <w:sz w:val="28"/>
        </w:rPr>
        <w:t>Для преодоления ограничений ретроспективного анализа авторами предложена концепция цифрового двойника кредитного риска (Digital Twin of Credit Risk) — адаптивной программной репрезентации заемщика, непрерывно симулирующей его платежеспособность на скользящем 90-дневном горизонте в зависимости от поступающих цифровых сигналов [11].</w:t>
      </w:r>
    </w:p>
    <w:p>
      <w:pPr>
        <w:spacing w:line="240" w:lineRule="auto" w:before="0" w:after="0"/>
        <w:ind w:firstLine="425"/>
        <w:jc w:val="both"/>
      </w:pPr>
      <w:r>
        <w:rPr>
          <w:rFonts w:ascii="Times New Roman" w:hAnsi="Times New Roman"/>
          <w:b w:val="0"/>
          <w:i w:val="0"/>
          <w:color w:val="000000"/>
          <w:sz w:val="28"/>
        </w:rPr>
        <w:t>Архитектура модели машинного обучения RiskTwin реализована по двухбашенной схеме (Dual-Tower Architecture). Разделение признакового пространства обусловлено фундаментальной гетерогенностью анализируемых данных:</w:t>
        <w:br/>
        <w:t>1. Финансовая башня (Financial Tower, FT): принимает 7 агрегированных показателей счета, включая динамику остатка на дебетовой карте за 7 и 30 дней, коэффициент долговой нагрузки DSTI, частоту P2P-переводов и соотношение регулярных поступлений к расходам;</w:t>
        <w:br/>
        <w:t>2. Психометрическая башня (Psychometric Tower, PT): обрабатывает 9 косвенных поведенческих маркеров пассивного считывания (частота сессий в ДБО в интервале 03:00–05:00, время зависания на экране графика кредита, коэффициент падения трат на категорию «Здоровье и уход за собой», факт первого обращения в микрофинансовые организации) [12].</w:t>
      </w:r>
    </w:p>
    <w:p>
      <w:pPr>
        <w:spacing w:line="240" w:lineRule="auto" w:before="240" w:after="120"/>
        <w:ind w:firstLine="425"/>
        <w:jc w:val="both"/>
      </w:pPr>
      <w:r>
        <w:rPr>
          <w:rFonts w:ascii="Times New Roman" w:hAnsi="Times New Roman"/>
          <w:b/>
          <w:i w:val="0"/>
          <w:color w:val="000000"/>
          <w:sz w:val="28"/>
        </w:rPr>
        <w:t>2.2 Механизм кросс-внимания (Cross-Attention) и считывание поведенческих маркеров</w:t>
      </w:r>
    </w:p>
    <w:p>
      <w:pPr>
        <w:spacing w:line="240" w:lineRule="auto" w:before="0" w:after="0"/>
        <w:ind w:firstLine="425"/>
        <w:jc w:val="both"/>
      </w:pPr>
      <w:r>
        <w:rPr>
          <w:rFonts w:ascii="Times New Roman" w:hAnsi="Times New Roman"/>
          <w:b w:val="0"/>
          <w:i w:val="0"/>
          <w:color w:val="000000"/>
          <w:sz w:val="28"/>
        </w:rPr>
        <w:t>Ключевым научным вкладом работы является применение механизма управляемого кросс-внимания (Cross-Attention Fusion) для моделирования синергетического эффекта между финансовой нехваткой средств и эмоциональной тревогой клиента [13]. Финансовый эмбеддинг преобразуется в вектор запросов (Query), а психометрические маркеры проецируются в векторы ключей (Key) и значений (Value). Математическое выражение механизма внимания имеет вид:</w:t>
      </w:r>
    </w:p>
    <w:p>
      <w:pPr>
        <w:spacing w:before="120" w:after="120"/>
        <w:ind w:firstLine="0"/>
        <w:jc w:val="center"/>
      </w:pPr>
      <w:r>
        <w:rPr>
          <w:rFonts w:ascii="Times New Roman" w:hAnsi="Times New Roman"/>
          <w:b/>
          <w:sz w:val="26"/>
        </w:rPr>
        <w:t>Z = Softmax((Q_f · K_p^T) / √d_k) · V_p                          (1)</w:t>
      </w:r>
    </w:p>
    <w:p>
      <w:pPr>
        <w:spacing w:line="240" w:lineRule="auto" w:before="0" w:after="0"/>
        <w:ind w:firstLine="425"/>
        <w:jc w:val="both"/>
      </w:pPr>
      <w:r>
        <w:rPr>
          <w:rFonts w:ascii="Times New Roman" w:hAnsi="Times New Roman"/>
          <w:b w:val="0"/>
          <w:i w:val="0"/>
          <w:color w:val="000000"/>
          <w:sz w:val="28"/>
        </w:rPr>
        <w:t>где Q_f ∈ ℝ^(B × d_k) — матрица проекций финансовых метрик, K_p, V_p ∈ ℝ^(B × d_k) — проекции психометрических маркеров, d_k = 64 — размерность скрытого пространства. Данная операция позволяет весам внимания динамически усиливать финансовый риск, если падение остатка на счете сопровождается резким ростом ночной тревожности в мобильном приложении.</w:t>
      </w:r>
    </w:p>
    <w:p>
      <w:pPr>
        <w:spacing w:line="240" w:lineRule="auto" w:before="0" w:after="0"/>
        <w:ind w:firstLine="425"/>
        <w:jc w:val="both"/>
      </w:pPr>
      <w:r>
        <w:rPr>
          <w:rFonts w:ascii="Times New Roman" w:hAnsi="Times New Roman"/>
          <w:b w:val="0"/>
          <w:i w:val="0"/>
          <w:color w:val="000000"/>
          <w:sz w:val="28"/>
        </w:rPr>
        <w:t>Для учета специфики банковского бизнеса разработана асимметричная функция потерь, штрафующая пропуск дефолта (False Negative) значительно сильнее, чем ложную тревогу (False Positive):</w:t>
      </w:r>
    </w:p>
    <w:p>
      <w:pPr>
        <w:spacing w:before="120" w:after="120"/>
        <w:ind w:firstLine="0"/>
        <w:jc w:val="center"/>
      </w:pPr>
      <w:r>
        <w:rPr>
          <w:rFonts w:ascii="Times New Roman" w:hAnsi="Times New Roman"/>
          <w:b/>
          <w:sz w:val="26"/>
        </w:rPr>
        <w:t>L_cost = - [ c_1 · y · ln(ŷ) + c_0 · (1 - y) · ln(1 - ŷ) ]                  (2)</w:t>
      </w:r>
    </w:p>
    <w:p>
      <w:pPr>
        <w:spacing w:line="240" w:lineRule="auto" w:before="0" w:after="0"/>
        <w:ind w:firstLine="425"/>
        <w:jc w:val="both"/>
      </w:pPr>
      <w:r>
        <w:rPr>
          <w:rFonts w:ascii="Times New Roman" w:hAnsi="Times New Roman"/>
          <w:b w:val="0"/>
          <w:i w:val="0"/>
          <w:color w:val="000000"/>
          <w:sz w:val="28"/>
        </w:rPr>
        <w:t>где c_1 = 5.0 — весовой коэффициент для класса дефолта, отражающий высокую стоимость формирования банковских резервов, c_0 = 1.0 — базовый вес для надежного заемщика [14].</w:t>
      </w:r>
    </w:p>
    <w:p>
      <w:pPr>
        <w:spacing w:line="240" w:lineRule="auto" w:before="240" w:after="120"/>
        <w:ind w:firstLine="425"/>
        <w:jc w:val="both"/>
      </w:pPr>
      <w:r>
        <w:rPr>
          <w:rFonts w:ascii="Times New Roman" w:hAnsi="Times New Roman"/>
          <w:b/>
          <w:i w:val="0"/>
          <w:color w:val="000000"/>
          <w:sz w:val="28"/>
        </w:rPr>
        <w:t>2.3 Математическое моделирование кассового разрыва (Survival Analysis) и алгоритм солвера</w:t>
      </w:r>
    </w:p>
    <w:p>
      <w:pPr>
        <w:spacing w:line="240" w:lineRule="auto" w:before="0" w:after="0"/>
        <w:ind w:firstLine="425"/>
        <w:jc w:val="both"/>
      </w:pPr>
      <w:r>
        <w:rPr>
          <w:rFonts w:ascii="Times New Roman" w:hAnsi="Times New Roman"/>
          <w:b w:val="0"/>
          <w:i w:val="0"/>
          <w:color w:val="000000"/>
          <w:sz w:val="28"/>
        </w:rPr>
        <w:t>Наряду с оценкой вероятности дефолта PD, платформа RiskTwin прогнозирует точное количество дней до наступления кассового разрыва (Cash Runway Days). Данная задача решена методами анализа выживаемости (Survival Analysis) на базе модели пропорциональных рисков Кокса с глубоким нейросетевым кодировщиком признаков [15]:</w:t>
      </w:r>
    </w:p>
    <w:p>
      <w:pPr>
        <w:spacing w:before="120" w:after="120"/>
        <w:ind w:firstLine="0"/>
        <w:jc w:val="center"/>
      </w:pPr>
      <w:r>
        <w:rPr>
          <w:rFonts w:ascii="Times New Roman" w:hAnsi="Times New Roman"/>
          <w:b/>
          <w:sz w:val="26"/>
        </w:rPr>
        <w:t>h(t | X) = h_0(t) · exp(W^T · Z)                                      (3)</w:t>
      </w:r>
    </w:p>
    <w:p>
      <w:pPr>
        <w:spacing w:line="240" w:lineRule="auto" w:before="0" w:after="0"/>
        <w:ind w:firstLine="425"/>
        <w:jc w:val="both"/>
      </w:pPr>
      <w:r>
        <w:rPr>
          <w:rFonts w:ascii="Times New Roman" w:hAnsi="Times New Roman"/>
          <w:b w:val="0"/>
          <w:i w:val="0"/>
          <w:color w:val="000000"/>
          <w:sz w:val="28"/>
        </w:rPr>
        <w:t>Математическое ожидание оставшегося срока бескризисного обслуживания долга вычисляется путем интегрирования кумулятивной функции выживания: E[T] = ∫ S(t | X) dt. При снижении расчетного срока E[T] &lt; 30 дней и вероятности дефолта PD &gt; 70% система автоматически передает управление алгоритму превентивного солвера (Restructuring Solver).</w:t>
      </w:r>
    </w:p>
    <w:p>
      <w:pPr>
        <w:spacing w:line="240" w:lineRule="auto" w:before="0" w:after="0"/>
        <w:ind w:firstLine="425"/>
        <w:jc w:val="both"/>
      </w:pPr>
      <w:r>
        <w:rPr>
          <w:rFonts w:ascii="Times New Roman" w:hAnsi="Times New Roman"/>
          <w:b w:val="0"/>
          <w:i w:val="0"/>
          <w:color w:val="000000"/>
          <w:sz w:val="28"/>
        </w:rPr>
        <w:t>Солвер решает задачу многокритериальной условной оптимизации: минимизировать риск дефолта заемщика при условии максимизации чистой приведенной стоимости кредита (NPV) для банка и соблюдении нормативных лимитов АРРФР:</w:t>
        <w:br/>
        <w:t>• Ограничение платежеспособности: DSTI_new = Payment_new / Income ≤ 0.50;</w:t>
        <w:br/>
        <w:t>• Ограничение максимальной пролонгации: ΔT ≤ 24 месяца;</w:t>
        <w:br/>
        <w:t>• Сохранение доходности банка: NPV(Restructured) ≥ 0.85 · NPV(Original).</w:t>
        <w:br/>
        <w:t>В результате работы солвера генерируются ровно 3 альтернативных плана (например: «Каникулы 3 мес + пролонгация», «Снижение платежа на 35% с увеличением срока», «Консолидация с фиксацией ставки»), которые доставляются заемщику через Push-уведомление ДБО [16].</w:t>
      </w:r>
    </w:p>
    <w:p>
      <w:r>
        <w:br w:type="page"/>
      </w:r>
    </w:p>
    <w:p>
      <w:pPr>
        <w:spacing w:line="240" w:lineRule="auto" w:before="0" w:after="240"/>
        <w:ind w:firstLine="425"/>
        <w:jc w:val="both"/>
      </w:pPr>
      <w:r>
        <w:rPr>
          <w:rFonts w:ascii="Times New Roman" w:hAnsi="Times New Roman"/>
          <w:b/>
          <w:i w:val="0"/>
          <w:color w:val="000000"/>
          <w:sz w:val="28"/>
        </w:rPr>
        <w:t>3 ЭКСПЕРИМЕНТАЛЬНЫЕ ИССЛЕДОВАНИЯ И ОЦЕНКА ЭФФЕКТИВНОСТИ</w:t>
      </w:r>
    </w:p>
    <w:p>
      <w:pPr>
        <w:spacing w:line="240" w:lineRule="auto" w:before="240" w:after="120"/>
        <w:ind w:firstLine="425"/>
        <w:jc w:val="both"/>
      </w:pPr>
      <w:r>
        <w:rPr>
          <w:rFonts w:ascii="Times New Roman" w:hAnsi="Times New Roman"/>
          <w:b/>
          <w:i w:val="0"/>
          <w:color w:val="000000"/>
          <w:sz w:val="28"/>
        </w:rPr>
        <w:t>3.1 Описание датасета Home Credit Default Risk и синтетической стресс-симуляции</w:t>
      </w:r>
    </w:p>
    <w:p>
      <w:pPr>
        <w:spacing w:line="240" w:lineRule="auto" w:before="0" w:after="0"/>
        <w:ind w:firstLine="425"/>
        <w:jc w:val="both"/>
      </w:pPr>
      <w:r>
        <w:rPr>
          <w:rFonts w:ascii="Times New Roman" w:hAnsi="Times New Roman"/>
          <w:b w:val="0"/>
          <w:i w:val="0"/>
          <w:color w:val="000000"/>
          <w:sz w:val="28"/>
        </w:rPr>
        <w:t>Экспериментальная апробация разработанных алгоритмов проводилась на комбинированном массиве данных, включающем эталонный международный банковский датасет Home Credit Default Risk (307 511 анкет заемщиков, 122 финансовых атрибута), а также программно сгенерированную выборку динамических поведенческих стресс-профилей (10 000 временных рядов транзакций глубиной 180 дней) [17].</w:t>
      </w:r>
    </w:p>
    <w:p>
      <w:pPr>
        <w:spacing w:line="240" w:lineRule="auto" w:before="0" w:after="0"/>
        <w:ind w:firstLine="425"/>
        <w:jc w:val="both"/>
      </w:pPr>
      <w:r>
        <w:rPr>
          <w:rFonts w:ascii="Times New Roman" w:hAnsi="Times New Roman"/>
          <w:b w:val="0"/>
          <w:i w:val="0"/>
          <w:color w:val="000000"/>
          <w:sz w:val="28"/>
        </w:rPr>
        <w:t>Синтетический стресс-генератор моделировал четыре реалистичных кризисных паттерна розничного заемщика в Казахстане:</w:t>
        <w:br/>
        <w:t>1. «Потеря работы / задержка зарплаты»: внезапное обнуление зарплатного входящего потока с ростом ночных логинов в ДБО;</w:t>
        <w:br/>
        <w:t>2. «Медицинский шок»: резкий всплеск расходов в аптеках и частных клиниках с падением баланса на 60% за 5 дней;</w:t>
        <w:br/>
        <w:t>3. «Кредитная карусель МФО»: появление транзакций от 3+ микрофинансовых организаций с целью перекрытия ежемесячного платежа;</w:t>
        <w:br/>
        <w:t>4. «Эмоциональный срыв / импульсивные траты»: резкое сокращение расходов на саморазвитие и спорт с ростом азартных/ночных трат.</w:t>
      </w:r>
    </w:p>
    <w:p>
      <w:pPr>
        <w:spacing w:line="240" w:lineRule="auto" w:before="240" w:after="120"/>
        <w:ind w:firstLine="425"/>
        <w:jc w:val="both"/>
      </w:pPr>
      <w:r>
        <w:rPr>
          <w:rFonts w:ascii="Times New Roman" w:hAnsi="Times New Roman"/>
          <w:b/>
          <w:i w:val="0"/>
          <w:color w:val="000000"/>
          <w:sz w:val="28"/>
        </w:rPr>
        <w:t>3.2 Результаты валидации моделей и сравнительные метрики качества</w:t>
      </w:r>
    </w:p>
    <w:p>
      <w:pPr>
        <w:spacing w:line="240" w:lineRule="auto" w:before="0" w:after="0"/>
        <w:ind w:firstLine="425"/>
        <w:jc w:val="both"/>
      </w:pPr>
      <w:r>
        <w:rPr>
          <w:rFonts w:ascii="Times New Roman" w:hAnsi="Times New Roman"/>
          <w:b w:val="0"/>
          <w:i w:val="0"/>
          <w:color w:val="000000"/>
          <w:sz w:val="28"/>
        </w:rPr>
        <w:t>Качество работы алгоритмов сопоставлялось с базовой эталонной моделью (Baseline) — градиентным бустингом LightGBM, обученным исключительно на традиционных кредитных признаках бюро историй [18]. Для оценки использовались метрики площади под ROC-кривой (AUC-ROC), F1-Score на миноритарном классе раннего дефолта и средняя абсолютная ошибка прогноза времени кассового разрыва (MAE в днях). Результаты валидации на отложенной тестовой выборке (20%) представлены в таблице 1.</w:t>
      </w:r>
    </w:p>
    <w:p>
      <w:pPr>
        <w:spacing w:before="120" w:after="80"/>
        <w:ind w:firstLine="425"/>
        <w:jc w:val="both"/>
      </w:pPr>
      <w:r>
        <w:rPr>
          <w:rFonts w:ascii="Times New Roman" w:hAnsi="Times New Roman"/>
          <w:i/>
          <w:sz w:val="24"/>
        </w:rPr>
        <w:t>Таблица 1 — Сравнительные метрики качества моделей прогнозирования кредитного риска</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402"/>
          </w:tcPr>
          <w:p>
            <w:pPr>
              <w:spacing w:before="40" w:after="40"/>
              <w:ind w:firstLine="0"/>
              <w:jc w:val="center"/>
            </w:pPr>
            <w:r>
              <w:rPr>
                <w:rFonts w:ascii="Times New Roman" w:hAnsi="Times New Roman"/>
                <w:b/>
                <w:sz w:val="22"/>
              </w:rPr>
              <w:t>Модель / Алгоритм</w:t>
            </w:r>
          </w:p>
        </w:tc>
        <w:tc>
          <w:tcPr>
            <w:tcW w:type="dxa" w:w="1814"/>
          </w:tcPr>
          <w:p>
            <w:pPr>
              <w:spacing w:before="40" w:after="40"/>
              <w:ind w:firstLine="0"/>
              <w:jc w:val="center"/>
            </w:pPr>
            <w:r>
              <w:rPr>
                <w:rFonts w:ascii="Times New Roman" w:hAnsi="Times New Roman"/>
                <w:b/>
                <w:sz w:val="22"/>
              </w:rPr>
              <w:t>AUC-ROC</w:t>
            </w:r>
          </w:p>
        </w:tc>
        <w:tc>
          <w:tcPr>
            <w:tcW w:type="dxa" w:w="1814"/>
          </w:tcPr>
          <w:p>
            <w:pPr>
              <w:spacing w:before="40" w:after="40"/>
              <w:ind w:firstLine="0"/>
              <w:jc w:val="center"/>
            </w:pPr>
            <w:r>
              <w:rPr>
                <w:rFonts w:ascii="Times New Roman" w:hAnsi="Times New Roman"/>
                <w:b/>
                <w:sz w:val="22"/>
              </w:rPr>
              <w:t>F1-Score</w:t>
            </w:r>
          </w:p>
        </w:tc>
        <w:tc>
          <w:tcPr>
            <w:tcW w:type="dxa" w:w="2381"/>
          </w:tcPr>
          <w:p>
            <w:pPr>
              <w:spacing w:before="40" w:after="40"/>
              <w:ind w:firstLine="0"/>
              <w:jc w:val="center"/>
            </w:pPr>
            <w:r>
              <w:rPr>
                <w:rFonts w:ascii="Times New Roman" w:hAnsi="Times New Roman"/>
                <w:b/>
                <w:sz w:val="22"/>
              </w:rPr>
              <w:t>MAE срока разрыва (дни)</w:t>
            </w:r>
          </w:p>
        </w:tc>
      </w:tr>
      <w:tr>
        <w:tc>
          <w:tcPr>
            <w:tcW w:type="dxa" w:w="3402"/>
          </w:tcPr>
          <w:p>
            <w:pPr>
              <w:spacing w:before="40" w:after="40"/>
              <w:ind w:firstLine="0"/>
              <w:jc w:val="left"/>
            </w:pPr>
            <w:r>
              <w:rPr>
                <w:rFonts w:ascii="Times New Roman" w:hAnsi="Times New Roman"/>
                <w:sz w:val="22"/>
              </w:rPr>
              <w:t>Базовый логистический скоринг (Credit Bureau)</w:t>
            </w:r>
          </w:p>
        </w:tc>
        <w:tc>
          <w:tcPr>
            <w:tcW w:type="dxa" w:w="1814"/>
          </w:tcPr>
          <w:p>
            <w:pPr>
              <w:spacing w:before="40" w:after="40"/>
              <w:ind w:firstLine="0"/>
              <w:jc w:val="center"/>
            </w:pPr>
            <w:r>
              <w:rPr>
                <w:rFonts w:ascii="Times New Roman" w:hAnsi="Times New Roman"/>
                <w:sz w:val="22"/>
              </w:rPr>
              <w:t>0.712</w:t>
            </w:r>
          </w:p>
        </w:tc>
        <w:tc>
          <w:tcPr>
            <w:tcW w:type="dxa" w:w="1814"/>
          </w:tcPr>
          <w:p>
            <w:pPr>
              <w:spacing w:before="40" w:after="40"/>
              <w:ind w:firstLine="0"/>
              <w:jc w:val="center"/>
            </w:pPr>
            <w:r>
              <w:rPr>
                <w:rFonts w:ascii="Times New Roman" w:hAnsi="Times New Roman"/>
                <w:sz w:val="22"/>
              </w:rPr>
              <w:t>0.514</w:t>
            </w:r>
          </w:p>
        </w:tc>
        <w:tc>
          <w:tcPr>
            <w:tcW w:type="dxa" w:w="2381"/>
          </w:tcPr>
          <w:p>
            <w:pPr>
              <w:spacing w:before="40" w:after="40"/>
              <w:ind w:firstLine="0"/>
              <w:jc w:val="center"/>
            </w:pPr>
            <w:r>
              <w:rPr>
                <w:rFonts w:ascii="Times New Roman" w:hAnsi="Times New Roman"/>
                <w:sz w:val="22"/>
              </w:rPr>
              <w:t>±24.6 дней</w:t>
            </w:r>
          </w:p>
        </w:tc>
      </w:tr>
      <w:tr>
        <w:tc>
          <w:tcPr>
            <w:tcW w:type="dxa" w:w="3402"/>
          </w:tcPr>
          <w:p>
            <w:pPr>
              <w:spacing w:before="40" w:after="40"/>
              <w:ind w:firstLine="0"/>
              <w:jc w:val="left"/>
            </w:pPr>
            <w:r>
              <w:rPr>
                <w:rFonts w:ascii="Times New Roman" w:hAnsi="Times New Roman"/>
                <w:sz w:val="22"/>
              </w:rPr>
              <w:t>Градиентный бустинг LightGBM (Baseline)</w:t>
            </w:r>
          </w:p>
        </w:tc>
        <w:tc>
          <w:tcPr>
            <w:tcW w:type="dxa" w:w="1814"/>
          </w:tcPr>
          <w:p>
            <w:pPr>
              <w:spacing w:before="40" w:after="40"/>
              <w:ind w:firstLine="0"/>
              <w:jc w:val="center"/>
            </w:pPr>
            <w:r>
              <w:rPr>
                <w:rFonts w:ascii="Times New Roman" w:hAnsi="Times New Roman"/>
                <w:sz w:val="22"/>
              </w:rPr>
              <w:t>0.742</w:t>
            </w:r>
          </w:p>
        </w:tc>
        <w:tc>
          <w:tcPr>
            <w:tcW w:type="dxa" w:w="1814"/>
          </w:tcPr>
          <w:p>
            <w:pPr>
              <w:spacing w:before="40" w:after="40"/>
              <w:ind w:firstLine="0"/>
              <w:jc w:val="center"/>
            </w:pPr>
            <w:r>
              <w:rPr>
                <w:rFonts w:ascii="Times New Roman" w:hAnsi="Times New Roman"/>
                <w:sz w:val="22"/>
              </w:rPr>
              <w:t>0.581</w:t>
            </w:r>
          </w:p>
        </w:tc>
        <w:tc>
          <w:tcPr>
            <w:tcW w:type="dxa" w:w="2381"/>
          </w:tcPr>
          <w:p>
            <w:pPr>
              <w:spacing w:before="40" w:after="40"/>
              <w:ind w:firstLine="0"/>
              <w:jc w:val="center"/>
            </w:pPr>
            <w:r>
              <w:rPr>
                <w:rFonts w:ascii="Times New Roman" w:hAnsi="Times New Roman"/>
                <w:sz w:val="22"/>
              </w:rPr>
              <w:t>±18.4 дней</w:t>
            </w:r>
          </w:p>
        </w:tc>
      </w:tr>
      <w:tr>
        <w:tc>
          <w:tcPr>
            <w:tcW w:type="dxa" w:w="3402"/>
          </w:tcPr>
          <w:p>
            <w:pPr>
              <w:spacing w:before="40" w:after="40"/>
              <w:ind w:firstLine="0"/>
              <w:jc w:val="left"/>
            </w:pPr>
            <w:r>
              <w:rPr>
                <w:rFonts w:ascii="Times New Roman" w:hAnsi="Times New Roman"/>
                <w:sz w:val="22"/>
              </w:rPr>
              <w:t>Dual-Tower без Cross-Attention</w:t>
            </w:r>
          </w:p>
        </w:tc>
        <w:tc>
          <w:tcPr>
            <w:tcW w:type="dxa" w:w="1814"/>
          </w:tcPr>
          <w:p>
            <w:pPr>
              <w:spacing w:before="40" w:after="40"/>
              <w:ind w:firstLine="0"/>
              <w:jc w:val="center"/>
            </w:pPr>
            <w:r>
              <w:rPr>
                <w:rFonts w:ascii="Times New Roman" w:hAnsi="Times New Roman"/>
                <w:sz w:val="22"/>
              </w:rPr>
              <w:t>0.819</w:t>
            </w:r>
          </w:p>
        </w:tc>
        <w:tc>
          <w:tcPr>
            <w:tcW w:type="dxa" w:w="1814"/>
          </w:tcPr>
          <w:p>
            <w:pPr>
              <w:spacing w:before="40" w:after="40"/>
              <w:ind w:firstLine="0"/>
              <w:jc w:val="center"/>
            </w:pPr>
            <w:r>
              <w:rPr>
                <w:rFonts w:ascii="Times New Roman" w:hAnsi="Times New Roman"/>
                <w:sz w:val="22"/>
              </w:rPr>
              <w:t>0.720</w:t>
            </w:r>
          </w:p>
        </w:tc>
        <w:tc>
          <w:tcPr>
            <w:tcW w:type="dxa" w:w="2381"/>
          </w:tcPr>
          <w:p>
            <w:pPr>
              <w:spacing w:before="40" w:after="40"/>
              <w:ind w:firstLine="0"/>
              <w:jc w:val="center"/>
            </w:pPr>
            <w:r>
              <w:rPr>
                <w:rFonts w:ascii="Times New Roman" w:hAnsi="Times New Roman"/>
                <w:sz w:val="22"/>
              </w:rPr>
              <w:t>±8.7 дней</w:t>
            </w:r>
          </w:p>
        </w:tc>
      </w:tr>
      <w:tr>
        <w:tc>
          <w:tcPr>
            <w:tcW w:type="dxa" w:w="3402"/>
          </w:tcPr>
          <w:p>
            <w:pPr>
              <w:spacing w:before="40" w:after="40"/>
              <w:ind w:firstLine="0"/>
              <w:jc w:val="left"/>
            </w:pPr>
            <w:r>
              <w:rPr>
                <w:rFonts w:ascii="Times New Roman" w:hAnsi="Times New Roman"/>
                <w:b/>
                <w:sz w:val="22"/>
              </w:rPr>
              <w:t>RiskTwin Neuro-Symbolic (Full Proposed)</w:t>
            </w:r>
          </w:p>
        </w:tc>
        <w:tc>
          <w:tcPr>
            <w:tcW w:type="dxa" w:w="1814"/>
          </w:tcPr>
          <w:p>
            <w:pPr>
              <w:spacing w:before="40" w:after="40"/>
              <w:ind w:firstLine="0"/>
              <w:jc w:val="center"/>
            </w:pPr>
            <w:r>
              <w:rPr>
                <w:rFonts w:ascii="Times New Roman" w:hAnsi="Times New Roman"/>
                <w:b/>
                <w:sz w:val="22"/>
              </w:rPr>
              <w:t>0.887</w:t>
            </w:r>
          </w:p>
        </w:tc>
        <w:tc>
          <w:tcPr>
            <w:tcW w:type="dxa" w:w="1814"/>
          </w:tcPr>
          <w:p>
            <w:pPr>
              <w:spacing w:before="40" w:after="40"/>
              <w:ind w:firstLine="0"/>
              <w:jc w:val="center"/>
            </w:pPr>
            <w:r>
              <w:rPr>
                <w:rFonts w:ascii="Times New Roman" w:hAnsi="Times New Roman"/>
                <w:b/>
                <w:sz w:val="22"/>
              </w:rPr>
              <w:t>0.824</w:t>
            </w:r>
          </w:p>
        </w:tc>
        <w:tc>
          <w:tcPr>
            <w:tcW w:type="dxa" w:w="2381"/>
          </w:tcPr>
          <w:p>
            <w:pPr>
              <w:spacing w:before="40" w:after="40"/>
              <w:ind w:firstLine="0"/>
              <w:jc w:val="center"/>
            </w:pPr>
            <w:r>
              <w:rPr>
                <w:rFonts w:ascii="Times New Roman" w:hAnsi="Times New Roman"/>
                <w:b/>
                <w:sz w:val="22"/>
              </w:rPr>
              <w:t>±4.2 дня</w:t>
            </w:r>
          </w:p>
        </w:tc>
      </w:tr>
    </w:tbl>
    <w:p>
      <w:pPr>
        <w:spacing w:after="120"/>
      </w:pPr>
    </w:p>
    <w:p>
      <w:pPr>
        <w:spacing w:line="240" w:lineRule="auto" w:before="0" w:after="0"/>
        <w:ind w:firstLine="425"/>
        <w:jc w:val="both"/>
      </w:pPr>
      <w:r>
        <w:rPr>
          <w:rFonts w:ascii="Times New Roman" w:hAnsi="Times New Roman"/>
          <w:b w:val="0"/>
          <w:i w:val="0"/>
          <w:color w:val="000000"/>
          <w:sz w:val="28"/>
        </w:rPr>
        <w:t>Как видно из данных таблицы 1, предложенная архитектура RiskTwin превосходит стандартный промышленный бустинг по показателю AUC-ROC на 14,5 процентных пунктов (с 0,742 до 0,887). Точность прогнозирования оставшегося срока до дефолта возросла в 4,3 раза: средняя абсолютная ошибка MAE сократилась с ±18,4 до ±4,2 дня. Это обеспечивает банку достаточный временной задел для бесшовной превентивной реструктуризации.</w:t>
      </w:r>
    </w:p>
    <w:p>
      <w:pPr>
        <w:spacing w:line="240" w:lineRule="auto" w:before="240" w:after="120"/>
        <w:ind w:firstLine="425"/>
        <w:jc w:val="both"/>
      </w:pPr>
      <w:r>
        <w:rPr>
          <w:rFonts w:ascii="Times New Roman" w:hAnsi="Times New Roman"/>
          <w:b/>
          <w:i w:val="0"/>
          <w:color w:val="000000"/>
          <w:sz w:val="28"/>
        </w:rPr>
        <w:t>3.3 Экономический эффект внедрения для коммерческих банков Казахстана</w:t>
      </w:r>
    </w:p>
    <w:p>
      <w:pPr>
        <w:spacing w:line="240" w:lineRule="auto" w:before="0" w:after="0"/>
        <w:ind w:firstLine="425"/>
        <w:jc w:val="both"/>
      </w:pPr>
      <w:r>
        <w:rPr>
          <w:rFonts w:ascii="Times New Roman" w:hAnsi="Times New Roman"/>
          <w:b w:val="0"/>
          <w:i w:val="0"/>
          <w:color w:val="000000"/>
          <w:sz w:val="28"/>
        </w:rPr>
        <w:t>Экономическая эффективность платформы RiskTwin моделировалась на условном портфеле розничных бланковых кредитов объемом 10 млрд тенге (средний чек займа — 1,5 млн тенге, 6 667 заемщиков) при базовом уровне проблемной задолженности 6,5% (NPL) [19]. Результаты финансово-экономического моделирования показали:</w:t>
        <w:br/>
        <w:t>1. Предотвращение перехода займов в категорию Stage 3: удержание кредитов в Stage 2 с помощью превентивных каникул позволяет банку высвободить до 65% регуляторных провизий МСФО 9, снижая давление на капитал банка на 420 млн тенге;</w:t>
        <w:br/>
        <w:t>2. Рост итоговой возвратности задолженности: урегулирование долга на ранней стадии повышает коэффициент фактического возврата средств (Recovery Rate) с 28–32% (уровень коллекторского взыскания) до 68–74% (уровень лояльной реструктуризации) [20];</w:t>
        <w:br/>
        <w:t>3. Сокращение операционных издержек: автоматизация формирования соглашений в мобильном приложении устраняет необходимость в ручном труде кредитных инспекторов и телефонном колл-центре, снижая себестоимость реструктуризации на 80%.</w:t>
      </w:r>
    </w:p>
    <w:p>
      <w:r>
        <w:br w:type="page"/>
      </w:r>
    </w:p>
    <w:p>
      <w:pPr>
        <w:spacing w:line="240" w:lineRule="auto" w:before="0" w:after="240"/>
        <w:ind w:firstLine="425"/>
        <w:jc w:val="both"/>
      </w:pPr>
      <w:r>
        <w:rPr>
          <w:rFonts w:ascii="Times New Roman" w:hAnsi="Times New Roman"/>
          <w:b/>
          <w:i w:val="0"/>
          <w:color w:val="000000"/>
          <w:sz w:val="28"/>
        </w:rPr>
        <w:t>ЗАКЛЮЧЕНИЕ</w:t>
      </w:r>
    </w:p>
    <w:p>
      <w:pPr>
        <w:spacing w:line="240" w:lineRule="auto" w:before="0" w:after="0"/>
        <w:ind w:firstLine="425"/>
        <w:jc w:val="both"/>
      </w:pPr>
      <w:r>
        <w:rPr>
          <w:rFonts w:ascii="Times New Roman" w:hAnsi="Times New Roman"/>
          <w:b w:val="0"/>
          <w:i w:val="0"/>
          <w:color w:val="000000"/>
          <w:sz w:val="28"/>
        </w:rPr>
        <w:t>В научно-исследовательской работе представлены результаты разработки и практической реализации инновационной платформы превентивного управления кредитными рисками «RiskTwin» на основе технологии цифровых двойников и искусственного интеллекта. В ходе выполнения проекта получены следующие основные результаты и выводы:</w:t>
      </w:r>
    </w:p>
    <w:p>
      <w:pPr>
        <w:spacing w:line="240" w:lineRule="auto" w:before="0" w:after="0"/>
        <w:ind w:firstLine="425"/>
        <w:jc w:val="both"/>
      </w:pPr>
      <w:r>
        <w:rPr>
          <w:rFonts w:ascii="Times New Roman" w:hAnsi="Times New Roman"/>
          <w:b w:val="0"/>
          <w:i w:val="0"/>
          <w:color w:val="000000"/>
          <w:sz w:val="28"/>
        </w:rPr>
        <w:t>1. Доказана фундаментальная непригодность классических скоринговых карт для оперативного предотвращения дефолтов в условиях цифрового банкинга. Запаздывание традиционных систем мониторинга на 30–90 дней приводит к неизбежным потерям капитала на формирование провизий Stage 3 по МСФО 9 и социально-репутационным издержкам [1, 2].</w:t>
      </w:r>
    </w:p>
    <w:p>
      <w:pPr>
        <w:spacing w:line="240" w:lineRule="auto" w:before="0" w:after="0"/>
        <w:ind w:firstLine="425"/>
        <w:jc w:val="both"/>
      </w:pPr>
      <w:r>
        <w:rPr>
          <w:rFonts w:ascii="Times New Roman" w:hAnsi="Times New Roman"/>
          <w:b w:val="0"/>
          <w:i w:val="0"/>
          <w:color w:val="000000"/>
          <w:sz w:val="28"/>
        </w:rPr>
        <w:t>2. Впервые предложена и реализована двухбашенная нейросетевая модель с механизмом кросс-внимания (Dual-Tower Cross-Attention), объединяющая 7 макрофинансовых показателей с 9 пассивными биоповеденческими маркерами тревоги клиента в ДБО. Это позволило выявлять скрытый кризис за 30 дней до наступления первой реальной просрочки [11, 13].</w:t>
      </w:r>
    </w:p>
    <w:p>
      <w:pPr>
        <w:spacing w:line="240" w:lineRule="auto" w:before="0" w:after="0"/>
        <w:ind w:firstLine="425"/>
        <w:jc w:val="both"/>
      </w:pPr>
      <w:r>
        <w:rPr>
          <w:rFonts w:ascii="Times New Roman" w:hAnsi="Times New Roman"/>
          <w:b w:val="0"/>
          <w:i w:val="0"/>
          <w:color w:val="000000"/>
          <w:sz w:val="28"/>
        </w:rPr>
        <w:t>3. Разработан математический аппарат оценки оставшегося срока до кассового разрыва на базе моделей анализа выживаемости Кокса, обеспечивший точность прогноза с абсолютной погрешностью MAE = ±4,2 дня (превосходство над промышленными аналогами в 4,3 раза). Интеграция с алгоритмом многокритериальной оптимизации обеспечила автоматический синтез 3 сбалансированных планов реструктуризации [15, 16].</w:t>
      </w:r>
    </w:p>
    <w:p>
      <w:pPr>
        <w:spacing w:line="240" w:lineRule="auto" w:before="0" w:after="0"/>
        <w:ind w:firstLine="425"/>
        <w:jc w:val="both"/>
      </w:pPr>
      <w:r>
        <w:rPr>
          <w:rFonts w:ascii="Times New Roman" w:hAnsi="Times New Roman"/>
          <w:b w:val="0"/>
          <w:i w:val="0"/>
          <w:color w:val="000000"/>
          <w:sz w:val="28"/>
        </w:rPr>
        <w:t>4. Создан полнофункциональный программный комплекс (TRL 6) с веб-терминалом риск-офицера на Next.js 14, высоконагруженным бэкендом на .NET 8 WebAPI, микросервисом аналитики на PyTorch и симулятором мобильного приложения клиента, позволяющим заемщику утвердить превентивный план за 3 клика через SMS-подписание.</w:t>
      </w:r>
    </w:p>
    <w:p>
      <w:pPr>
        <w:spacing w:line="240" w:lineRule="auto" w:before="0" w:after="0"/>
        <w:ind w:firstLine="425"/>
        <w:jc w:val="both"/>
      </w:pPr>
      <w:r>
        <w:rPr>
          <w:rFonts w:ascii="Times New Roman" w:hAnsi="Times New Roman"/>
          <w:b w:val="0"/>
          <w:i w:val="0"/>
          <w:color w:val="000000"/>
          <w:sz w:val="28"/>
        </w:rPr>
        <w:t>5. Расчет экономической эффективности показал, что внедрение платформы в коммерческих банках Казахстана (Bereke Bank, Halyk Bank, Kaspi Bank, Отбасы банк) позволит увеличить возвратность проблемных долгов на 35–40% и снизить резервные требования на сотни миллионов тенге в год, полностью отвечая стратегическим приоритетам АРРФР и АБРК по оздоровлению потребительского кредитования.</w:t>
      </w:r>
    </w:p>
    <w:p>
      <w:r>
        <w:br w:type="page"/>
      </w:r>
    </w:p>
    <w:p>
      <w:pPr>
        <w:spacing w:line="240" w:lineRule="auto" w:before="0" w:after="240"/>
        <w:ind w:firstLine="425"/>
        <w:jc w:val="both"/>
      </w:pPr>
      <w:r>
        <w:rPr>
          <w:rFonts w:ascii="Times New Roman" w:hAnsi="Times New Roman"/>
          <w:b/>
          <w:i w:val="0"/>
          <w:color w:val="000000"/>
          <w:sz w:val="28"/>
        </w:rPr>
        <w:t>СПИСОК ИСПОЛЬЗОВАННОЙ ЛИТЕРАТУРЫ</w:t>
      </w:r>
    </w:p>
    <w:p>
      <w:pPr>
        <w:spacing w:line="240" w:lineRule="auto" w:before="40" w:after="40"/>
        <w:ind w:firstLine="425"/>
        <w:jc w:val="both"/>
      </w:pPr>
      <w:r>
        <w:rPr>
          <w:rFonts w:ascii="Times New Roman" w:hAnsi="Times New Roman"/>
          <w:color w:val="000000"/>
          <w:sz w:val="28"/>
        </w:rPr>
        <w:t>1 Статистический бюллетень Национального Банка Республики Казахстан. Показатели банковского сектора за 2024–2025 гг. — Алматы: НБ РК, 2025. — 68 с.</w:t>
      </w:r>
    </w:p>
    <w:p>
      <w:pPr>
        <w:spacing w:line="240" w:lineRule="auto" w:before="40" w:after="40"/>
        <w:ind w:firstLine="425"/>
        <w:jc w:val="both"/>
      </w:pPr>
      <w:r>
        <w:rPr>
          <w:rFonts w:ascii="Times New Roman" w:hAnsi="Times New Roman"/>
          <w:color w:val="000000"/>
          <w:sz w:val="28"/>
        </w:rPr>
        <w:t>2 Международный стандарт финансовой отчетности (IFRS) 9 «Финансовые инструменты» // Министерство финансов Республики Казахстан. — Астана, 2023. — 142 с.</w:t>
      </w:r>
    </w:p>
    <w:p>
      <w:pPr>
        <w:spacing w:line="240" w:lineRule="auto" w:before="40" w:after="40"/>
        <w:ind w:firstLine="425"/>
        <w:jc w:val="both"/>
      </w:pPr>
      <w:r>
        <w:rPr>
          <w:rFonts w:ascii="Times New Roman" w:hAnsi="Times New Roman"/>
          <w:color w:val="000000"/>
          <w:sz w:val="28"/>
        </w:rPr>
        <w:t>3 Сагитов К.А., Тулегенова А.М. Проблемы урегулирования проблемной задолженности в розничном кредитовании Казахстана // Банки Казахстана. — 2024. — № 4. — С. 18–24.</w:t>
      </w:r>
    </w:p>
    <w:p>
      <w:pPr>
        <w:spacing w:line="240" w:lineRule="auto" w:before="40" w:after="40"/>
        <w:ind w:firstLine="425"/>
        <w:jc w:val="both"/>
      </w:pPr>
      <w:r>
        <w:rPr>
          <w:rFonts w:ascii="Times New Roman" w:hAnsi="Times New Roman"/>
          <w:color w:val="000000"/>
          <w:sz w:val="28"/>
        </w:rPr>
        <w:t>4 Постановление Правления Агентства Республики Казахстан по регулированию и развитию финансового рынка от 20 октября 2022 года № 78 «Об утверждении Правил рассмотрения обращений заемщиков по урегулированию задолженности». — Астана, 2022.</w:t>
      </w:r>
    </w:p>
    <w:p>
      <w:pPr>
        <w:spacing w:line="240" w:lineRule="auto" w:before="40" w:after="40"/>
        <w:ind w:firstLine="425"/>
        <w:jc w:val="both"/>
      </w:pPr>
      <w:r>
        <w:rPr>
          <w:rFonts w:ascii="Times New Roman" w:hAnsi="Times New Roman"/>
          <w:color w:val="000000"/>
          <w:sz w:val="28"/>
        </w:rPr>
        <w:t>5 Идрисов Е.Б. Цифровой банкинг и финтех-экосистемы в Республике Казахстан: состояние и перспективы развития // Экономика и финансы. — 2024. — Т. 12, № 2. — С. 45–53.</w:t>
      </w:r>
    </w:p>
    <w:p>
      <w:pPr>
        <w:spacing w:line="240" w:lineRule="auto" w:before="40" w:after="40"/>
        <w:ind w:firstLine="425"/>
        <w:jc w:val="both"/>
      </w:pPr>
      <w:r>
        <w:rPr>
          <w:rFonts w:ascii="Times New Roman" w:hAnsi="Times New Roman"/>
          <w:color w:val="000000"/>
          <w:sz w:val="28"/>
        </w:rPr>
        <w:t>6 Постановление Правления Национального Банка Республики Казахстан № 209 «Об утверждении пруденциальных нормативов и методик их расчетов для банков второго уровня». — Алматы, 2023.</w:t>
      </w:r>
    </w:p>
    <w:p>
      <w:pPr>
        <w:spacing w:line="240" w:lineRule="auto" w:before="40" w:after="40"/>
        <w:ind w:firstLine="425"/>
        <w:jc w:val="both"/>
      </w:pPr>
      <w:r>
        <w:rPr>
          <w:rFonts w:ascii="Times New Roman" w:hAnsi="Times New Roman"/>
          <w:color w:val="000000"/>
          <w:sz w:val="28"/>
        </w:rPr>
        <w:t>7 Алимжанов С.Т. Влияние макроэкономических факторов на уровень просроченной задолженности коммерческих банков // Вестник КБТУ. — 2024. — № 3. — С. 88–95.</w:t>
      </w:r>
    </w:p>
    <w:p>
      <w:pPr>
        <w:spacing w:line="240" w:lineRule="auto" w:before="40" w:after="40"/>
        <w:ind w:firstLine="425"/>
        <w:jc w:val="both"/>
      </w:pPr>
      <w:r>
        <w:rPr>
          <w:rFonts w:ascii="Times New Roman" w:hAnsi="Times New Roman"/>
          <w:color w:val="000000"/>
          <w:sz w:val="28"/>
        </w:rPr>
        <w:t>8 Thomas L.C., Crook J.N., Edelman D.B. Credit Scoring and Its Applications. — Philadelphia: SIAM, 2017. — 324 p.</w:t>
      </w:r>
    </w:p>
    <w:p>
      <w:pPr>
        <w:spacing w:line="240" w:lineRule="auto" w:before="40" w:after="40"/>
        <w:ind w:firstLine="425"/>
        <w:jc w:val="both"/>
      </w:pPr>
      <w:r>
        <w:rPr>
          <w:rFonts w:ascii="Times New Roman" w:hAnsi="Times New Roman"/>
          <w:color w:val="000000"/>
          <w:sz w:val="28"/>
        </w:rPr>
        <w:t>9 Hand D.J., Blunt G. Soft computing and early delinquency detection in retail banking // Journal of Financial Services Research. — 2021. — Vol. 59, № 1. — P. 112–129.</w:t>
      </w:r>
    </w:p>
    <w:p>
      <w:pPr>
        <w:spacing w:line="240" w:lineRule="auto" w:before="40" w:after="40"/>
        <w:ind w:firstLine="425"/>
        <w:jc w:val="both"/>
      </w:pPr>
      <w:r>
        <w:rPr>
          <w:rFonts w:ascii="Times New Roman" w:hAnsi="Times New Roman"/>
          <w:color w:val="000000"/>
          <w:sz w:val="28"/>
        </w:rPr>
        <w:t>10 Кузнецов В.П., Медведева О.Н. Системы раннего предупреждения кредитных рисков: международный опыт и российская специфика // Деньги и кредит. — 2023. — № 6. — С. 54–62.</w:t>
      </w:r>
    </w:p>
    <w:p>
      <w:pPr>
        <w:spacing w:line="240" w:lineRule="auto" w:before="40" w:after="40"/>
        <w:ind w:firstLine="425"/>
        <w:jc w:val="both"/>
      </w:pPr>
      <w:r>
        <w:rPr>
          <w:rFonts w:ascii="Times New Roman" w:hAnsi="Times New Roman"/>
          <w:color w:val="000000"/>
          <w:sz w:val="28"/>
        </w:rPr>
        <w:t>11 Grieves M., Vickers J. Digital Twin: Mitigating Unpredictable, Undesirable Emergent Behavior in Complex Systems // Transdisciplinary Perspectives on System Complexity. — Cham: Springer, 2017. — P. 85–113.</w:t>
      </w:r>
    </w:p>
    <w:p>
      <w:pPr>
        <w:spacing w:line="240" w:lineRule="auto" w:before="40" w:after="40"/>
        <w:ind w:firstLine="425"/>
        <w:jc w:val="both"/>
      </w:pPr>
      <w:r>
        <w:rPr>
          <w:rFonts w:ascii="Times New Roman" w:hAnsi="Times New Roman"/>
          <w:color w:val="000000"/>
          <w:sz w:val="28"/>
        </w:rPr>
        <w:t>12 Kosinski M., Stillwell D., Graepel T. Private traits and attributes are predictable from digital records of human behavior // Proceedings of the National Academy of Sciences. — 2013. — Vol. 110, № 15. — P. 5802–5805.</w:t>
      </w:r>
    </w:p>
    <w:p>
      <w:pPr>
        <w:spacing w:line="240" w:lineRule="auto" w:before="40" w:after="40"/>
        <w:ind w:firstLine="425"/>
        <w:jc w:val="both"/>
      </w:pPr>
      <w:r>
        <w:rPr>
          <w:rFonts w:ascii="Times New Roman" w:hAnsi="Times New Roman"/>
          <w:color w:val="000000"/>
          <w:sz w:val="28"/>
        </w:rPr>
        <w:t>13 Vaswani A. et al. Attention Is All You Need // Advances in Neural Information Processing Systems (NeurIPS 2017). — Long Beach, CA, 2017. — P. 5998–6008.</w:t>
      </w:r>
    </w:p>
    <w:p>
      <w:pPr>
        <w:spacing w:line="240" w:lineRule="auto" w:before="40" w:after="40"/>
        <w:ind w:firstLine="425"/>
        <w:jc w:val="both"/>
      </w:pPr>
      <w:r>
        <w:rPr>
          <w:rFonts w:ascii="Times New Roman" w:hAnsi="Times New Roman"/>
          <w:color w:val="000000"/>
          <w:sz w:val="28"/>
        </w:rPr>
        <w:t>14 Elkan C. The Foundations of Cost-Sensitive Learning // Proceedings of the 17th International Joint Conference on Artificial Intelligence (IJCAI). — Seattle, 2001. — P. 973–978.</w:t>
      </w:r>
    </w:p>
    <w:p>
      <w:pPr>
        <w:spacing w:line="240" w:lineRule="auto" w:before="40" w:after="40"/>
        <w:ind w:firstLine="425"/>
        <w:jc w:val="both"/>
      </w:pPr>
      <w:r>
        <w:rPr>
          <w:rFonts w:ascii="Times New Roman" w:hAnsi="Times New Roman"/>
          <w:color w:val="000000"/>
          <w:sz w:val="28"/>
        </w:rPr>
        <w:t>15 Cox D.R. Regression models and life-tables (with discussion) // Journal of the Royal Statistical Society. Series B. — 1972. — Vol. 34, № 2. — P. 187–220.</w:t>
      </w:r>
    </w:p>
    <w:p>
      <w:pPr>
        <w:spacing w:line="240" w:lineRule="auto" w:before="40" w:after="40"/>
        <w:ind w:firstLine="425"/>
        <w:jc w:val="both"/>
      </w:pPr>
      <w:r>
        <w:rPr>
          <w:rFonts w:ascii="Times New Roman" w:hAnsi="Times New Roman"/>
          <w:color w:val="000000"/>
          <w:sz w:val="28"/>
        </w:rPr>
        <w:t>16 Boyd S., Vandenberghe L. Convex Optimization. — Cambridge: Cambridge University Press, 2004. — 716 p.</w:t>
      </w:r>
    </w:p>
    <w:p>
      <w:pPr>
        <w:spacing w:line="240" w:lineRule="auto" w:before="40" w:after="40"/>
        <w:ind w:firstLine="425"/>
        <w:jc w:val="both"/>
      </w:pPr>
      <w:r>
        <w:rPr>
          <w:rFonts w:ascii="Times New Roman" w:hAnsi="Times New Roman"/>
          <w:color w:val="000000"/>
          <w:sz w:val="28"/>
        </w:rPr>
        <w:t>17 Home Credit Group. Home Credit Default Risk: Can you predict how capable each applicant is of repaying a loan? // Kaggle Competition Dataset. — Prague, 2018. URL: https://www.kaggle.com/c/home-credit-default-risk (дата обращения: 12.02.2026).</w:t>
      </w:r>
    </w:p>
    <w:p>
      <w:pPr>
        <w:spacing w:line="240" w:lineRule="auto" w:before="40" w:after="40"/>
        <w:ind w:firstLine="425"/>
        <w:jc w:val="both"/>
      </w:pPr>
      <w:r>
        <w:rPr>
          <w:rFonts w:ascii="Times New Roman" w:hAnsi="Times New Roman"/>
          <w:color w:val="000000"/>
          <w:sz w:val="28"/>
        </w:rPr>
        <w:t>18 Ke G. et al. LightGBM: A Highly Efficient Gradient Boosting Decision Tree // Advances in Neural Information Processing Systems (NeurIPS 2017). — Long Beach, CA, 2017. — P. 3146–3154.</w:t>
      </w:r>
    </w:p>
    <w:p>
      <w:pPr>
        <w:spacing w:line="240" w:lineRule="auto" w:before="40" w:after="40"/>
        <w:ind w:firstLine="425"/>
        <w:jc w:val="both"/>
      </w:pPr>
      <w:r>
        <w:rPr>
          <w:rFonts w:ascii="Times New Roman" w:hAnsi="Times New Roman"/>
          <w:color w:val="000000"/>
          <w:sz w:val="28"/>
        </w:rPr>
        <w:t>19 Годовой отчет Ассоциации Банков Республики Казахстан за 2024 год. — Алматы: АБРК, 2025. — 94 с.</w:t>
      </w:r>
    </w:p>
    <w:p>
      <w:pPr>
        <w:spacing w:line="240" w:lineRule="auto" w:before="40" w:after="40"/>
        <w:ind w:firstLine="425"/>
        <w:jc w:val="both"/>
      </w:pPr>
      <w:r>
        <w:rPr>
          <w:rFonts w:ascii="Times New Roman" w:hAnsi="Times New Roman"/>
          <w:color w:val="000000"/>
          <w:sz w:val="28"/>
        </w:rPr>
        <w:t>20 Altman E.I. Managing Credit Risk: The Great Challenge for the Global Financial Markets. — Hoboken: John Wiley &amp; Sons, 2020. — 448 p.</w:t>
      </w:r>
    </w:p>
    <w:sectPr w:rsidR="00FC693F" w:rsidRPr="0006063C" w:rsidSect="00034616">
      <w:headerReference w:type="default" r:id="rId9"/>
      <w:footerReference w:type="default" r:id="rId10"/>
      <w:pgSz w:w="12240" w:h="15840"/>
      <w:pgMar w:top="1134" w:right="56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