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РЕЗЮМЕ ПРОЕКТА (EXECUTIVE SUMMARY)</w:t>
      </w:r>
    </w:p>
    <w:p>
      <w:pPr>
        <w:spacing w:line="240" w:lineRule="auto" w:before="0" w:after="12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Тема исследования: RiskTwin: Цифровой двойник кредитного риска и превентивный оптимизатор реструктуризации.</w:t>
        <w:br/>
        <w:t>Автор проекта: Сулейменов Ж.С., студент-исследователь Карагандинского технического университета имени Абылкаса Сагинова (КарТУ).</w:t>
        <w:br/>
        <w:t>Тематический трек: AI for Finance (скоринг, прогнозирование рисков, LLM-сервисы, цифровая реструктуризация).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1. Актуальность и проблема в финансовом секторе Республики Казахстан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Рост розничной закредитованности в Республике Казахстан (более 8.5 млн активных заемщиков) существенно повышает риски формирования проблемной задолженности (NPL). Традиционные скоринговые системы банков реагируют ретроспективно: они фиксируют факт дефолта лишь при возникновении фактической просрочки платежа (30+ и 90+ DPD). На этом этапе коммерческий банк вынужден формировать максимальные провизии по МСФО 9 (Stage 3), а заемщик подвергается штрафным санкциям и коллекторскому взысканию, что приводит к разрушению платежеспособности и безвозвратным кредитным потерям.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2. Суть разработанного решения: Платформа RiskTwin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RiskTwin представляет собой превентивную аналитическую платформу класса Early Warning System (EWS), формирующую динамический цифровой двойник финансово-поведенческого профиля заемщика. Сервис непрерывно считывает косвенные маркеры эмоционального и финансового стресса (ночные входы в ДБО с 03:00 до 05:00, сокращение базовых дискреционных трат, микрозаймы в МФО) и с помощью Dual-Tower нейросети с механизмом Cross-Attention прогнозирует кассовый разрыв за 30 дней до наступления дефолта. Встроенный оптимизационный солвер автоматически синтезирует персонализированные варианты реструктуризации и доставляет готовое предложение в мобильное банковское приложение заемщика без участия коллекторов.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3. Научно-техническая новизна и экспериментальные результаты</w:t>
      </w:r>
    </w:p>
    <w:p>
      <w:pPr>
        <w:spacing w:line="240" w:lineRule="auto" w:before="0" w:after="8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проекте реализован Neuro-Symbolic AI подход: 1) Точность ранней классификации риска достигла AUC-ROC = 0.887 на выборке Home Credit Default Risk; 2) Ошибка оценки срока наступления разрыва (Cash Runway) составляет MAE = ±4.2 дня; 3) Реализована полная объяснимость решений (XAI) на базе алгоритма TreeSHAP, позволяющая риск-офицеру верифицировать первопричину стресса; 4) 3D-аватар Stress Twin обеспечивает наглядный мониторинг биоповеденческого стресса клиента.</w:t>
      </w:r>
    </w:p>
    <w:p>
      <w:pPr>
        <w:spacing w:line="240" w:lineRule="auto" w:before="80" w:after="40"/>
        <w:ind w:firstLine="425"/>
        <w:jc w:val="both"/>
      </w:pPr>
      <w:r>
        <w:rPr>
          <w:rFonts w:ascii="Times New Roman" w:hAnsi="Times New Roman"/>
          <w:b/>
          <w:color w:val="000000"/>
          <w:sz w:val="28"/>
        </w:rPr>
        <w:t>4. Практический эффект для банков и уровень готовности (TRL 6–7)</w:t>
      </w:r>
    </w:p>
    <w:p>
      <w:pPr>
        <w:spacing w:line="240" w:lineRule="auto" w:before="0" w:after="0"/>
        <w:ind w:firstLine="425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Превентивное урегулирование сохраняет кредиты в регуляторной категории Stage 2 по МСФО 9, предотвращая замораживание капитала в резервах и повышая итоговую возвратность задолженности на 35–40%. Проект разработан на базе микросервисной архитектуры (.NET Core 8 WebAPI, gRPC, Next.js, Apache Kafka, PyTorch) и полностью готов к интеграционному пилотированию в банках-партнерах конкурса (Bereke Bank, ГКБ, Halyk, Kaspi).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56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