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80"/>
        <w:ind w:firstLine="425"/>
        <w:jc w:val="both"/>
      </w:pPr>
      <w:r>
        <w:rPr>
          <w:rFonts w:ascii="Times New Roman" w:hAnsi="Times New Roman"/>
          <w:b/>
          <w:color w:val="000000"/>
          <w:sz w:val="28"/>
        </w:rPr>
        <w:t>PROJECT EXECUTIVE SUMMARY</w:t>
      </w:r>
    </w:p>
    <w:p>
      <w:pPr>
        <w:spacing w:line="240" w:lineRule="auto" w:before="0" w:after="120"/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Project Title: RiskTwin: Autonomous Pre-Emptive Credit Risk Twin &amp; Restructuring Optimizer.</w:t>
        <w:br/>
        <w:t>Author: Zhanserik Suleimenov, Student-Researcher at Abylkas Saginov Karaganda Technical University (KarTU).</w:t>
        <w:br/>
        <w:t>Thematic Track: AI for Finance (Credit Scoring, Risk Forecasting, LLM Services, RegTech).</w:t>
      </w:r>
    </w:p>
    <w:p>
      <w:pPr>
        <w:spacing w:line="240" w:lineRule="auto" w:before="80" w:after="40"/>
        <w:ind w:firstLine="425"/>
        <w:jc w:val="both"/>
      </w:pPr>
      <w:r>
        <w:rPr>
          <w:rFonts w:ascii="Times New Roman" w:hAnsi="Times New Roman"/>
          <w:b/>
          <w:color w:val="000000"/>
          <w:sz w:val="28"/>
        </w:rPr>
        <w:t>1. Problem Statement &amp; Banking Challenges in Kazakhstan</w:t>
      </w:r>
    </w:p>
    <w:p>
      <w:pPr>
        <w:spacing w:line="240" w:lineRule="auto" w:before="0" w:after="80"/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Rising retail indebtedness in Kazakhstan (over 8.5 million active borrowers) creates severe Non-Performing Loan (NPL) risks for commercial banks. Conventional credit scoring systems operate retrospectively: they register distress only after an actual delinquency occurs (30+ and 90+ DPD). Under IFRS 9 guidelines, this delay forces banks to freeze significant capital into Stage 3 impairment reserves, while borrowers face debt collection, destroying customer lifetime value and leading to irreversible write-offs.</w:t>
      </w:r>
    </w:p>
    <w:p>
      <w:pPr>
        <w:spacing w:line="240" w:lineRule="auto" w:before="80" w:after="40"/>
        <w:ind w:firstLine="425"/>
        <w:jc w:val="both"/>
      </w:pPr>
      <w:r>
        <w:rPr>
          <w:rFonts w:ascii="Times New Roman" w:hAnsi="Times New Roman"/>
          <w:b/>
          <w:color w:val="000000"/>
          <w:sz w:val="28"/>
        </w:rPr>
        <w:t>2. Proposed Solution: The RiskTwin Digital Platform</w:t>
      </w:r>
    </w:p>
    <w:p>
      <w:pPr>
        <w:spacing w:line="240" w:lineRule="auto" w:before="0" w:after="80"/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RiskTwin is an autonomous Early Warning System (EWS) that constructs a dynamic real-time digital twin of each borrower's financial-behavioral state. Rather than waiting for overdue payments, RiskTwin tracks latent distress markers (insomnia mobile banking logins between 03:00 and 05:00, steep declines in discretionary spending, initial microfinance loans). Powered by a Dual-Tower Cross-Attention neural network, RiskTwin forecasts cash flow depletion 30 days ahead of default. An automated restructuring solver synthesizes 3 customized mitigation options delivered directly to the borrower's mobile banking app without collection calls.</w:t>
      </w:r>
    </w:p>
    <w:p>
      <w:pPr>
        <w:spacing w:line="240" w:lineRule="auto" w:before="80" w:after="40"/>
        <w:ind w:firstLine="425"/>
        <w:jc w:val="both"/>
      </w:pPr>
      <w:r>
        <w:rPr>
          <w:rFonts w:ascii="Times New Roman" w:hAnsi="Times New Roman"/>
          <w:b/>
          <w:color w:val="000000"/>
          <w:sz w:val="28"/>
        </w:rPr>
        <w:t>3. Scientific Novelty &amp; Empirical Benchmark Results</w:t>
      </w:r>
    </w:p>
    <w:p>
      <w:pPr>
        <w:spacing w:line="240" w:lineRule="auto" w:before="0" w:after="80"/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The project demonstrates a Neuro-Symbolic AI framework: 1) Early default risk classification achieves AUC-ROC = 0.887 on the Home Credit Default Risk benchmark; 2) Cash runway timing error is narrowed down to MAE = ±4.2 days; 3) Full Explainable AI (XAI) transparency via TreeSHAP enables risk officers to audit the exact drivers of borrower distress; 4) A 3D biobehavioral stress twin visualizes real-time distress signals.</w:t>
      </w:r>
    </w:p>
    <w:p>
      <w:pPr>
        <w:spacing w:line="240" w:lineRule="auto" w:before="80" w:after="40"/>
        <w:ind w:firstLine="425"/>
        <w:jc w:val="both"/>
      </w:pPr>
      <w:r>
        <w:rPr>
          <w:rFonts w:ascii="Times New Roman" w:hAnsi="Times New Roman"/>
          <w:b/>
          <w:color w:val="000000"/>
          <w:sz w:val="28"/>
        </w:rPr>
        <w:t>4. Banking Impact, Regulatory Compliance &amp; Readiness (TRL 6–7)</w:t>
      </w:r>
    </w:p>
    <w:p>
      <w:pPr>
        <w:spacing w:line="240" w:lineRule="auto" w:before="0" w:after="0"/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By resolving credit stress prior to Day 1 delinquency, RiskTwin maintains loans in IFRS 9 Stage 2, preserving regulatory capital and increasing overall debt recovery by 35–40%. Built on enterprise microservices (.NET Core 8 WebAPI, gRPC, Next.js, Apache Kafka, PyTorch), RiskTwin is ready for pilot deployment in partner bank environments (Bereke Bank, First Credit Bureau, Halyk Bank, Kaspi Bank).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56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