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60"/>
        <w:ind w:firstLine="425"/>
        <w:jc w:val="both"/>
      </w:pPr>
      <w:r>
        <w:rPr>
          <w:rFonts w:ascii="Times New Roman" w:hAnsi="Times New Roman"/>
          <w:b/>
          <w:color w:val="000000"/>
          <w:sz w:val="28"/>
        </w:rPr>
        <w:t>ONE-PAGER ПРОЕКТА RISKTWIN</w:t>
      </w:r>
    </w:p>
    <w:p>
      <w:pPr>
        <w:spacing w:line="240" w:lineRule="auto" w:before="0" w:after="120"/>
        <w:ind w:firstLine="425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Превентивная платформа управления кредитными рисками и реструктуризации на базе Neuro-Symbolic AI. Автор: Сулейменов Ж.С. (КарТУ им. Абылкаса Сагинова). Трек: AI for Finance (Конкурс АБРК &amp; ГКБ 2026).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1. Проблема и контекст:</w:t>
            </w:r>
          </w:p>
        </w:tc>
        <w:tc>
          <w:tcPr>
            <w:tcW w:type="dxa" w:w="708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Рост NPL в РК (8.5 млн заемщиков). Традиционный скоринг опаздывает на 30–90 дней, замораживая провизии банков по МСФО 9 (Stage 3).</w:t>
            </w:r>
          </w:p>
        </w:tc>
      </w:tr>
      <w:tr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2. Целевая аудитория:</w:t>
            </w:r>
          </w:p>
        </w:tc>
        <w:tc>
          <w:tcPr>
            <w:tcW w:type="dxa" w:w="708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Банки второго уровня РК (Bereke, Halyk, Kaspi), микрофинансовые организации (МФО), Государственное Кредитное Бюро (ГКБ), АРРФР.</w:t>
            </w:r>
          </w:p>
        </w:tc>
      </w:tr>
      <w:tr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3. Суть решения:</w:t>
            </w:r>
          </w:p>
        </w:tc>
        <w:tc>
          <w:tcPr>
            <w:tcW w:type="dxa" w:w="708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Dual-Tower нейросеть (финансы + психометрия) + Stalker Engine (ранний стресс) + автоматический солвер 3 превентивных планов помощи в ДБО.</w:t>
            </w:r>
          </w:p>
        </w:tc>
      </w:tr>
      <w:tr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4. Ценность для банков:</w:t>
            </w:r>
          </w:p>
        </w:tc>
        <w:tc>
          <w:tcPr>
            <w:tcW w:type="dxa" w:w="708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Удержание ссуд в Stage 2 (экономия капитала до 70%), рост возвратности долга на 35–40%, урегулирование без коллекторов и судов.</w:t>
            </w:r>
          </w:p>
        </w:tc>
      </w:tr>
    </w:tbl>
    <w:p>
      <w:pPr>
        <w:spacing w:after="80"/>
      </w:pPr>
    </w:p>
    <w:p>
      <w:pPr>
        <w:spacing w:line="240" w:lineRule="auto" w:before="80" w:after="60"/>
        <w:ind w:firstLine="425"/>
        <w:jc w:val="both"/>
      </w:pPr>
      <w:r>
        <w:rPr>
          <w:rFonts w:ascii="Times New Roman" w:hAnsi="Times New Roman"/>
          <w:b/>
          <w:color w:val="000000"/>
          <w:sz w:val="28"/>
        </w:rPr>
        <w:t>Сравнительный анализ традиционного скоринга и платформы RiskTwin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Критерий сравнения</w:t>
            </w:r>
          </w:p>
        </w:tc>
        <w:tc>
          <w:tcPr>
            <w:tcW w:type="dxa" w:w="354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Традиционный банковский скоринг</w:t>
            </w:r>
          </w:p>
        </w:tc>
        <w:tc>
          <w:tcPr>
            <w:tcW w:type="dxa" w:w="354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Платформа RiskTwin</w:t>
            </w:r>
          </w:p>
        </w:tc>
      </w:tr>
      <w:tr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Горизонт реагирования</w:t>
            </w:r>
          </w:p>
        </w:tc>
        <w:tc>
          <w:tcPr>
            <w:tcW w:type="dxa" w:w="354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Постфактум (просрочка 30+ и 90+ DPD)</w:t>
            </w:r>
          </w:p>
        </w:tc>
        <w:tc>
          <w:tcPr>
            <w:tcW w:type="dxa" w:w="354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Превентивно за 30 дней до дефолта</w:t>
            </w:r>
          </w:p>
        </w:tc>
      </w:tr>
      <w:tr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Анализируемые сигналы</w:t>
            </w:r>
          </w:p>
        </w:tc>
        <w:tc>
          <w:tcPr>
            <w:tcW w:type="dxa" w:w="354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Выписки счетов и история в ГКБ</w:t>
            </w:r>
          </w:p>
        </w:tc>
        <w:tc>
          <w:tcPr>
            <w:tcW w:type="dxa" w:w="354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Поведение в ДБО, спад трат, МФО, стресс</w:t>
            </w:r>
          </w:p>
        </w:tc>
      </w:tr>
      <w:tr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Механизм помощи</w:t>
            </w:r>
          </w:p>
        </w:tc>
        <w:tc>
          <w:tcPr>
            <w:tcW w:type="dxa" w:w="354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Штрафы, звонки коллекторов, судебный иск</w:t>
            </w:r>
          </w:p>
        </w:tc>
        <w:tc>
          <w:tcPr>
            <w:tcW w:type="dxa" w:w="354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Автоматический выбор 3 опций в приложении</w:t>
            </w:r>
          </w:p>
        </w:tc>
      </w:tr>
    </w:tbl>
    <w:p>
      <w:pPr>
        <w:spacing w:after="80"/>
      </w:pPr>
    </w:p>
    <w:p>
      <w:pPr>
        <w:spacing w:line="240" w:lineRule="auto" w:before="80" w:after="40"/>
        <w:ind w:firstLine="425"/>
        <w:jc w:val="both"/>
      </w:pPr>
      <w:r>
        <w:rPr>
          <w:rFonts w:ascii="Times New Roman" w:hAnsi="Times New Roman"/>
          <w:b/>
          <w:color w:val="000000"/>
          <w:sz w:val="28"/>
        </w:rPr>
        <w:t>Ключевые технические параметры и готовность (TRL 6–7)</w:t>
      </w:r>
    </w:p>
    <w:p>
      <w:pPr>
        <w:spacing w:line="240" w:lineRule="auto" w:before="0" w:after="0"/>
        <w:ind w:firstLine="425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Точность классификации раннего риска: AUC-ROC = 0.887 (Home Credit Default Risk). Точность прогноза кассового разрыва: MAE = ±4.2 дня. Стек разработки: .NET Core 8 WebAPI, gRPC, Next.js 14, Apache Kafka, PyTorch, LightGBM, TreeSHAP. Полная интеграционная готовность к пилотированию в банковской инфраструктуре Казахстана.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56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