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ТЕХНИЧЕСКОЕ ПРИЛОЖЕНИЕ К ПРОЕКТУ RISKTWIN</w:t>
      </w:r>
    </w:p>
    <w:p>
      <w:pPr>
        <w:spacing w:line="240" w:lineRule="auto" w:before="0" w:after="16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Методология моделирования, математический аппарат, результаты экспериментальной валидации и дорожная карта технологической готовности (TRL). Автор: Сулейменов Ж.С. (КарТУ им. Сагинова).</w:t>
      </w:r>
    </w:p>
    <w:p>
      <w:pPr>
        <w:spacing w:line="240" w:lineRule="auto" w:before="12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1. Архитектурная парадигма: Dual-Tower Neuro-Symbolic AI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основу платформы RiskTwin заложена гибридная архитектура Neuro-Symbolic AI. В отличие от стандартных моделей градиентного бустинга, оперирующих исключительно ретроспективными финансовыми выписками, RiskTwin разделяет входящий поток признаков на две параллельные башни репрезентации (Dual-Tower):</w:t>
        <w:br/>
        <w:t>• Финансовая башня (Tower F): аккумулирует 7 фундаментальных макро- и транзакционных индикаторов (динамика остатка 7d/30d, коэффициент долговой нагрузки DSTI, частота обращений за кредитами, объем кредитных лимитов);</w:t>
        <w:br/>
        <w:t>• Психометрическая башня (Tower P): обрабатывает 9 поведенческих маркеров пассивного считывания (ночные входы в ДБО с 03:00 до 05:00, аномальное зависание на экране графика платежей свыше 90 секунд, спад трат на категорию «уход за собой и спорт», появление микрозаймов в МФО, покупки в ночных аптеках).</w:t>
      </w:r>
    </w:p>
    <w:p>
      <w:pPr>
        <w:spacing w:line="240" w:lineRule="auto" w:before="12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2. Математический аппарат и алгоритмы оптимизации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2.1. Механизм кросс-внимания (Cross-Attention Fusion):</w:t>
        <w:br/>
        <w:t>Скрытые взаимосвязи между финансовым дефицитом и эмоциональным стрессом вычисляются через масштабированное произведение проекций:</w:t>
        <w:br/>
        <w:t xml:space="preserve">    Z = Softmax((Q_f · K_p^T) / sqrt(d_k)) · V_p</w:t>
        <w:br/>
        <w:t>где Q_f — векторное представление финансового состояния, K_p и V_p — проекции поведенческого стресса, d_k = 64 — размерность скрытого пространства.</w:t>
        <w:br/>
        <w:br/>
        <w:t>2.2. Асимметричная функция потерь (Cost-Sensitive Loss):</w:t>
        <w:br/>
        <w:t>Пропуск дефолта (False Negative) обходится банку в десятки раз дороже ложного срабатывания (False Positive), в связи с чем оптимизация проводится по взвешенной функции потерь:</w:t>
        <w:br/>
        <w:t xml:space="preserve">    L_cost = - [ c_1 · y · log(y_hat) + c_0 · (1 - y) · log(1 - y_hat) ]</w:t>
        <w:br/>
        <w:t>где c_1 = 5.0 (штрафной коэффициент пропуска дефолта), c_0 = 1.0.</w:t>
        <w:br/>
        <w:br/>
        <w:t>2.3. Модель выживаемости срока кассового разрыва (Survival Runway Model):</w:t>
        <w:br/>
        <w:t>Оценка времени до наступления неплатежеспособности T_runway моделируется пропорциональной функцией риска Кокса:</w:t>
        <w:br/>
        <w:t xml:space="preserve">    h(t | X) = h_0(t) · exp(W^T · Z)</w:t>
        <w:br/>
        <w:t>Математическое ожидание дней до исчерпания ликвидности определяется интегралом от функции выживания:</w:t>
        <w:br/>
        <w:t xml:space="preserve">    E[T] = ∫ S(t | X) dt</w:t>
      </w:r>
    </w:p>
    <w:p>
      <w:pPr>
        <w:spacing w:line="240" w:lineRule="auto" w:before="12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3. Экспериментальная база, датасеты и метрики валидации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Калибровка и тестирование моделей проводились на базе открытого отраслевого датасета Home Credit Default Risk (307 511 заемщиков, 122 финансовых показателя) и синтетического генератора стресс-сценариев (10 000 временных рядов поведения клиентов при шоках потери дохода, роста расходов и снижения ликвидности).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Показатель эффективности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Традиционный скоринг (Baseline)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RiskTwin Neuro-Symbolic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Качество ранней классификации (AUC-ROC)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0.742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0.887 (+14.5%)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F1-Score на классе раннего стресса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0.581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0.824 (+24.3%)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Точность прогноза срока до дефолта (MAE)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±18.4 дней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±4.2 дня (в 4.3 раза точнее)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Горизонт упреждающего оповещения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Day 1+ DPD (постфактум)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Day -30 (за месяц до просрочки)</w:t>
            </w:r>
          </w:p>
        </w:tc>
      </w:tr>
    </w:tbl>
    <w:p>
      <w:pPr>
        <w:spacing w:after="120"/>
      </w:pPr>
    </w:p>
    <w:p>
      <w:pPr>
        <w:spacing w:line="240" w:lineRule="auto" w:before="12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4. Уровень технологической готовности (TRL 6–7) и план доработки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Текущее состояние разработки соответствует уровню TRL 6 (Технология валидирована в релевантных условиях):</w:t>
        <w:br/>
        <w:t>• Реализован полнофункциональный микросервисный стек: .NET Core 8 WebAPI, Next.js 14, gRPC, Apache Kafka, PyTorch;</w:t>
        <w:br/>
        <w:t>• Проверена сквозная работоспособность: захват сигналов Stalker Engine ➔ gRPC инференс нейросети ➔ синтез планов реструктуризации солвером ➔ мобильный экран ДБО ➔ мгновенное подтверждение по SMS.</w:t>
        <w:br/>
        <w:br/>
        <w:t>План масштабирования до TRL 8–9 (промышленное внедрение в БВУ РК):</w:t>
        <w:br/>
        <w:t>1. Q1–Q2 2027: Пилотное развертывание в регуляторной песочнице Нацбанка РК совместно с Bereke Bank и ГКБ;</w:t>
        <w:br/>
        <w:t>2. Q3 2027: Интеграция с национальными протоколами Open Banking / Open API Республики Казахстан;</w:t>
        <w:br/>
        <w:t>3. Q4 2027: Прохождение сертификации информационной безопасности в соответствии с Законом РК № 94-V «О персональных данных».</w:t>
      </w:r>
    </w:p>
    <w:p>
      <w:pPr>
        <w:spacing w:line="240" w:lineRule="auto" w:before="12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5. Сведения об открытом репозитории и исходном коде</w:t>
      </w:r>
    </w:p>
    <w:p>
      <w:pPr>
        <w:spacing w:line="240" w:lineRule="auto" w:before="0" w:after="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Исходный программный код, веса обученных нейросетевых моделей, миграции базы данных и архитектурная документация размещены в репозитории проекта: github.com/suleimenov-risk/RiskTwin. Комплекс полностью автономен, разворачивается локально и готов к инспекции членами экспертного жюри конкурса.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