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5E91D" w14:textId="0CF55FA7" w:rsidR="00DB7D54" w:rsidRDefault="00400331">
      <w:r>
        <w:t>Methods</w:t>
      </w:r>
    </w:p>
    <w:p w14:paraId="1B874305" w14:textId="4B0C9DA4" w:rsidR="00DB7D54" w:rsidRDefault="00DB7D54">
      <w:pPr>
        <w:spacing w:after="0"/>
      </w:pPr>
    </w:p>
    <w:p w14:paraId="2F22E6C4" w14:textId="71E92313" w:rsidR="00DB7D54" w:rsidRDefault="00400331">
      <w:pPr>
        <w:spacing w:after="0"/>
      </w:pPr>
      <w:r>
        <w:rPr>
          <w:color w:val="000000"/>
        </w:rPr>
        <w:t xml:space="preserve">DNA samples were diluted to 10 ng/uL prior to PCR amplification. DNA samples were submitted to the Ramaciotti Centre for Genomics (University of New South Wales, Sydney, NSW, Australia). Amplicons of the V4 region of the bacterial rRNA gene were generated using 515f (5’-GTGCCAGCMGCCGCGGTAA-3’; Caporaso et al., 2011) and 806r (5'-GGACTACHVGGGTWTCTAAT-3'; Caporaso et al., 2011). Amplicons to identify fungal taxa were generated using fITS7 (5’-GTGARTCATCGAATCTTTG-3’; Ihrmark et al. 2012) and ITS4 (5'-TCCTCCGCTTATTGATATGC-3'; White et al. 1990). All amplicons purified using the Agencourt AMpure XP system (Beckman Coulter, Lane Cove, NSW, Australia) and genomic libraries were prepared using the Nextera XT Index Kit (Illumina, San Diego, CA, USA). Paired-end (2 x 251 bases) sequencing was performed on the Illumina MiSeq platform. </w:t>
      </w:r>
    </w:p>
    <w:p w14:paraId="68FBBFC6" w14:textId="77777777" w:rsidR="00DB7D54" w:rsidRDefault="00400331">
      <w:pPr>
        <w:spacing w:after="0"/>
      </w:pPr>
      <w:r>
        <w:rPr>
          <w:color w:val="000000"/>
        </w:rPr>
        <w:t> </w:t>
      </w:r>
    </w:p>
    <w:p w14:paraId="1D9D4224" w14:textId="60A89AAB" w:rsidR="00C077B4" w:rsidRDefault="00400331">
      <w:pPr>
        <w:spacing w:after="198"/>
        <w:rPr>
          <w:color w:val="000000"/>
        </w:rPr>
      </w:pPr>
      <w:r>
        <w:rPr>
          <w:color w:val="000000"/>
        </w:rPr>
        <w:t xml:space="preserve">To process the DNA sequencing data, we used the approach described by Bissett et al. (2016) with a few modifications. </w:t>
      </w:r>
      <w:r w:rsidR="00F73B6D" w:rsidRPr="00F73B6D">
        <w:rPr>
          <w:color w:val="000000"/>
        </w:rPr>
        <w:t>Contigs were generated from paired-end reads using the 'fastq_mergepairs' command in VSEARCH (version v2.</w:t>
      </w:r>
      <w:r w:rsidR="00F73B6D">
        <w:rPr>
          <w:color w:val="000000"/>
        </w:rPr>
        <w:t>3</w:t>
      </w:r>
      <w:r w:rsidR="00F73B6D" w:rsidRPr="00F73B6D">
        <w:rPr>
          <w:color w:val="000000"/>
        </w:rPr>
        <w:t>.4; Rognes et al., 2016) using a minimum overlap of 30</w:t>
      </w:r>
      <w:r w:rsidR="00F73B6D">
        <w:rPr>
          <w:color w:val="000000"/>
        </w:rPr>
        <w:t xml:space="preserve"> (for ITS sequencing) or 200 (for 16S sequencing)</w:t>
      </w:r>
      <w:r w:rsidR="00F73B6D" w:rsidRPr="00F73B6D">
        <w:rPr>
          <w:color w:val="000000"/>
        </w:rPr>
        <w:t xml:space="preserve"> base pairs. Initial quality filtering removed DNA sequences containing ambiguous bases and/or homopolymers greater than eight bases in length. Sequences were kept for further</w:t>
      </w:r>
      <w:r w:rsidR="00310893">
        <w:rPr>
          <w:color w:val="000000"/>
        </w:rPr>
        <w:t xml:space="preserve"> analysis</w:t>
      </w:r>
      <w:r w:rsidR="00F73B6D" w:rsidRPr="00F73B6D">
        <w:rPr>
          <w:color w:val="000000"/>
        </w:rPr>
        <w:t xml:space="preserve"> if they were within 200</w:t>
      </w:r>
      <w:r w:rsidR="00F73B6D">
        <w:rPr>
          <w:color w:val="000000"/>
        </w:rPr>
        <w:t>-</w:t>
      </w:r>
      <w:r w:rsidR="00F73B6D" w:rsidRPr="00F73B6D">
        <w:rPr>
          <w:color w:val="000000"/>
        </w:rPr>
        <w:t>470</w:t>
      </w:r>
      <w:r w:rsidR="00F73B6D">
        <w:rPr>
          <w:color w:val="000000"/>
        </w:rPr>
        <w:t xml:space="preserve"> (for ITS sequencing) or 251-255 (for 16S sequencing)</w:t>
      </w:r>
      <w:r w:rsidR="00F73B6D" w:rsidRPr="00F73B6D">
        <w:rPr>
          <w:color w:val="000000"/>
        </w:rPr>
        <w:t xml:space="preserve"> base pairs in length and contained fewer than 0.5 expected errors.</w:t>
      </w:r>
      <w:r w:rsidR="00F73B6D">
        <w:rPr>
          <w:color w:val="000000"/>
        </w:rPr>
        <w:t xml:space="preserve"> </w:t>
      </w:r>
      <w:r>
        <w:rPr>
          <w:color w:val="000000"/>
        </w:rPr>
        <w:t xml:space="preserve">De novo operational taxonomic units (OTUs) at 97% sequence similarity were initially picked using numerically dominant sequences (observed at least </w:t>
      </w:r>
      <w:r w:rsidR="00310893">
        <w:rPr>
          <w:color w:val="000000"/>
        </w:rPr>
        <w:t>two</w:t>
      </w:r>
      <w:r>
        <w:rPr>
          <w:color w:val="000000"/>
        </w:rPr>
        <w:t xml:space="preserve"> times) using the ‘-cluster_</w:t>
      </w:r>
      <w:r w:rsidR="00F73B6D">
        <w:rPr>
          <w:color w:val="000000"/>
        </w:rPr>
        <w:t>smallmem</w:t>
      </w:r>
      <w:r>
        <w:rPr>
          <w:color w:val="000000"/>
        </w:rPr>
        <w:t xml:space="preserve">’ command in </w:t>
      </w:r>
      <w:r w:rsidR="00F73B6D">
        <w:rPr>
          <w:color w:val="000000"/>
        </w:rPr>
        <w:t>V</w:t>
      </w:r>
      <w:r>
        <w:rPr>
          <w:color w:val="000000"/>
        </w:rPr>
        <w:t xml:space="preserve">SEARCH. All quality-filtered sequences were mapped at 97% sequence similarity against representative sequences of these OTUs using the ‘-usearch_global’ command in VSEARCH. Non-mapped sequences were subjected to a second round of de novo OTU picking, as above but only using sequences observed at least two times. All initially non-mapped sequences were then mapped against these newly picked OTUs, as above. Non-mapped sequences at this step represent singleton OTUs and were excluded from further analysis. </w:t>
      </w:r>
      <w:r w:rsidR="00EB706B">
        <w:rPr>
          <w:color w:val="000000"/>
        </w:rPr>
        <w:t>Sequence read counts that were less than ten within individual samples were removed to reduce the likelihood of sequence reads being assigned to samples incorrectly.</w:t>
      </w:r>
    </w:p>
    <w:p w14:paraId="1CF8EF37" w14:textId="3ECE4F1D" w:rsidR="00DB7D54" w:rsidRDefault="00400331">
      <w:pPr>
        <w:spacing w:after="198"/>
        <w:rPr>
          <w:color w:val="000000"/>
        </w:rPr>
      </w:pPr>
      <w:r>
        <w:rPr>
          <w:color w:val="000000"/>
        </w:rPr>
        <w:t>Putative taxonomic identities for fungal and bacterial OTUs were generated using BLAST (v.2.6.0, Altschul et al. 1990) to compare representative sequences for each OTU to a reference database of gene sequences and taxonomic annotations (bacterial 16S rRNA: greengenes, DeSantis et al. (2006)</w:t>
      </w:r>
      <w:r w:rsidR="00555225">
        <w:rPr>
          <w:color w:val="000000"/>
        </w:rPr>
        <w:t>, version in output file</w:t>
      </w:r>
      <w:r>
        <w:rPr>
          <w:color w:val="000000"/>
        </w:rPr>
        <w:t>; fungal ITS: UNITE Abarenkov et al. 2021</w:t>
      </w:r>
      <w:r w:rsidR="00555225">
        <w:rPr>
          <w:color w:val="000000"/>
        </w:rPr>
        <w:t>, version in output file</w:t>
      </w:r>
      <w:r>
        <w:rPr>
          <w:color w:val="000000"/>
        </w:rPr>
        <w:t>).</w:t>
      </w:r>
      <w:r w:rsidR="00C077B4">
        <w:rPr>
          <w:color w:val="000000"/>
        </w:rPr>
        <w:t xml:space="preserve"> Fungal ITS2 sequences were extracted using ITSx</w:t>
      </w:r>
      <w:r>
        <w:rPr>
          <w:color w:val="000000"/>
        </w:rPr>
        <w:t xml:space="preserve"> </w:t>
      </w:r>
      <w:r w:rsidR="00C077B4">
        <w:rPr>
          <w:color w:val="000000"/>
        </w:rPr>
        <w:t>(</w:t>
      </w:r>
      <w:r w:rsidR="00C077B4" w:rsidRPr="00C077B4">
        <w:rPr>
          <w:color w:val="000000"/>
        </w:rPr>
        <w:t>Bengtsson-Palme</w:t>
      </w:r>
      <w:r w:rsidR="00C077B4">
        <w:rPr>
          <w:color w:val="000000"/>
        </w:rPr>
        <w:t xml:space="preserve"> et al. 2013, v1.1.3) for use during BLAST. </w:t>
      </w:r>
      <w:r>
        <w:rPr>
          <w:color w:val="000000"/>
        </w:rPr>
        <w:t>Guilds of bacterial OTUs that were assigned to taxa were then inferred from Ho et al. (2017; copiotrophic - 'Actinobacteria', 'Bacteroidetes', 'Firmicutes', 'Betaproteobacteria', 'Gammaproteobacteria'; oligotrophic - 'Acidobacteria', 'Verrucomicrobia'). Trophic modes and guilds of fungal OTUs that were assigned to taxa were then inferred using FUNGuild (Nguyen et al. 2016</w:t>
      </w:r>
      <w:r w:rsidR="00310893">
        <w:rPr>
          <w:color w:val="000000"/>
        </w:rPr>
        <w:t>; accession date in output file</w:t>
      </w:r>
      <w:r>
        <w:rPr>
          <w:color w:val="000000"/>
        </w:rPr>
        <w:t xml:space="preserve">); only those assignments with ‘highly probable’ or ‘probable’ confidence were used in subsequent calculations. </w:t>
      </w:r>
    </w:p>
    <w:p w14:paraId="5C4B0EA0" w14:textId="1EEE9D38" w:rsidR="00AE08B0" w:rsidRDefault="00400331">
      <w:pPr>
        <w:spacing w:after="198"/>
        <w:rPr>
          <w:color w:val="000000"/>
        </w:rPr>
      </w:pPr>
      <w:r>
        <w:rPr>
          <w:color w:val="000000"/>
        </w:rPr>
        <w:t xml:space="preserve">Whole community and within guild diversity estimates were calculated </w:t>
      </w:r>
      <w:r w:rsidR="00AE08B0">
        <w:rPr>
          <w:color w:val="000000"/>
        </w:rPr>
        <w:t>as follows</w:t>
      </w:r>
      <w:r>
        <w:rPr>
          <w:color w:val="000000"/>
        </w:rPr>
        <w:t xml:space="preserve">. Observed richness was based on OTU counts per sample remaining after </w:t>
      </w:r>
      <w:r w:rsidR="00AE08B0">
        <w:rPr>
          <w:color w:val="000000"/>
        </w:rPr>
        <w:t>random resampling of OTU tables at equal depth (samples with fewer than 5000 reads were excluded from calculations)</w:t>
      </w:r>
      <w:r>
        <w:rPr>
          <w:color w:val="000000"/>
        </w:rPr>
        <w:t>. Shannon diversity was calculated</w:t>
      </w:r>
      <w:r w:rsidR="00AE08B0">
        <w:rPr>
          <w:color w:val="000000"/>
        </w:rPr>
        <w:t xml:space="preserve"> from resampled counts</w:t>
      </w:r>
      <w:r>
        <w:rPr>
          <w:color w:val="000000"/>
        </w:rPr>
        <w:t xml:space="preserve"> using the ‘diversity’ function from the ‘vegan’ package (Oksanan et al. 2020). </w:t>
      </w:r>
      <w:r w:rsidR="00AE08B0">
        <w:rPr>
          <w:color w:val="000000"/>
        </w:rPr>
        <w:t xml:space="preserve">Extrapolated (Chao1) richness was calculated using the ‘chao1’ function from the ‘fossil’ package (Vavrek 2011) and counts prior to resampling. </w:t>
      </w:r>
      <w:r>
        <w:rPr>
          <w:color w:val="000000"/>
        </w:rPr>
        <w:t xml:space="preserve">Within </w:t>
      </w:r>
      <w:r>
        <w:rPr>
          <w:color w:val="000000"/>
        </w:rPr>
        <w:lastRenderedPageBreak/>
        <w:t>guild relative abundance estimates represent the proportion of all reads in a sample that were assigned to that guild</w:t>
      </w:r>
      <w:r w:rsidR="00AE08B0">
        <w:rPr>
          <w:color w:val="000000"/>
        </w:rPr>
        <w:t xml:space="preserve"> prior to resampling</w:t>
      </w:r>
      <w:r>
        <w:rPr>
          <w:color w:val="000000"/>
        </w:rPr>
        <w:t xml:space="preserve">. </w:t>
      </w:r>
    </w:p>
    <w:p w14:paraId="14FDD41F" w14:textId="27A2A460" w:rsidR="00DB7D54" w:rsidRDefault="00AE08B0">
      <w:pPr>
        <w:spacing w:after="198"/>
        <w:rPr>
          <w:color w:val="000000"/>
        </w:rPr>
      </w:pPr>
      <w:r>
        <w:rPr>
          <w:color w:val="000000"/>
        </w:rPr>
        <w:t>If included, p</w:t>
      </w:r>
      <w:r w:rsidR="00400331">
        <w:rPr>
          <w:color w:val="000000"/>
        </w:rPr>
        <w:t>redicted abundances associated with metabolic pathways were generated from representative 16S sequences for OTUs with the ‘</w:t>
      </w:r>
      <w:r w:rsidR="00400331">
        <w:t xml:space="preserve">picrust2_pipeline.py’ script from PICRUSt2 v2.4.1 (Douglas et al. 2020). Before analyses, bacterial OTU tables were trimmed to include only those OTUs that made up at least 0.1% of reads in at least 5% of samples; the retained OTUs represented 54% of all reads in the resampled OTU tables. Phylogenetic placement of reads was performed using </w:t>
      </w:r>
      <w:r w:rsidR="00400331">
        <w:rPr>
          <w:color w:val="000000"/>
        </w:rPr>
        <w:t>‘SEPP’ (Mirarab et al. 2012), hidden state prediction us</w:t>
      </w:r>
      <w:r w:rsidR="00310893">
        <w:rPr>
          <w:color w:val="000000"/>
        </w:rPr>
        <w:t>i</w:t>
      </w:r>
      <w:r w:rsidR="00400331">
        <w:rPr>
          <w:color w:val="000000"/>
        </w:rPr>
        <w:t>ng ‘castor’ (Louca and Doebeli 2018) and pathway inference using ‘MinPath’ (Ye and Doak 2009).</w:t>
      </w:r>
    </w:p>
    <w:p w14:paraId="68BF5325" w14:textId="77777777" w:rsidR="00DB7D54" w:rsidRDefault="00400331">
      <w:pPr>
        <w:spacing w:after="0"/>
      </w:pPr>
      <w:r>
        <w:rPr>
          <w:color w:val="000000"/>
        </w:rPr>
        <w:t> </w:t>
      </w:r>
    </w:p>
    <w:p w14:paraId="0EE5A0E4" w14:textId="77777777" w:rsidR="00DB7D54" w:rsidRDefault="00400331">
      <w:pPr>
        <w:spacing w:after="198" w:line="240" w:lineRule="auto"/>
        <w:rPr>
          <w:color w:val="000000"/>
        </w:rPr>
      </w:pPr>
      <w:r>
        <w:rPr>
          <w:color w:val="000000"/>
        </w:rPr>
        <w:t>References</w:t>
      </w:r>
    </w:p>
    <w:p w14:paraId="1A59F444" w14:textId="77777777" w:rsidR="00DB7D54" w:rsidRDefault="00400331">
      <w:pPr>
        <w:spacing w:after="198" w:line="240" w:lineRule="auto"/>
      </w:pPr>
      <w:r>
        <w:rPr>
          <w:color w:val="000000"/>
        </w:rPr>
        <w:t xml:space="preserve">Abarenkov, Kessy; Zirk, Allan; Piirmann, Timo; Pöhönen, Raivo; Ivanov, Filipp; Nilsson, R. Henrik; Kõljalg, Urmas (2021): UNITE general FASTA release for Fungi 2. Version 10.05.2021. UNITE Community. </w:t>
      </w:r>
      <w:hyperlink r:id="rId7" w:tooltip="https://doi.org/10.15156/BIO/1280089" w:history="1">
        <w:r>
          <w:rPr>
            <w:rStyle w:val="Hyperlink"/>
            <w:color w:val="0563C1"/>
          </w:rPr>
          <w:t>https://doi.org/10.15156/BIO/1280089</w:t>
        </w:r>
      </w:hyperlink>
    </w:p>
    <w:p w14:paraId="07FC9957" w14:textId="77777777" w:rsidR="00DB7D54" w:rsidRDefault="00400331">
      <w:pPr>
        <w:spacing w:after="198" w:line="240" w:lineRule="auto"/>
      </w:pPr>
      <w:r>
        <w:rPr>
          <w:color w:val="000000"/>
        </w:rPr>
        <w:t xml:space="preserve">Altschul SF, Gish W, Miller W, et al (1990) Basic local alignment search tool. Journal of Molecular Biology 215:403–410. </w:t>
      </w:r>
      <w:hyperlink r:id="rId8" w:tooltip="https://doi.org/10.1016/S0022-2836(05)80360-2" w:history="1">
        <w:r>
          <w:rPr>
            <w:rStyle w:val="Hyperlink"/>
            <w:color w:val="0563C1"/>
          </w:rPr>
          <w:t>https://doi.org/10.1016/S0022-2836(05)80360-2</w:t>
        </w:r>
      </w:hyperlink>
    </w:p>
    <w:p w14:paraId="57967390" w14:textId="675FA2AC" w:rsidR="00C077B4" w:rsidRDefault="00C077B4" w:rsidP="00C077B4">
      <w:pPr>
        <w:spacing w:after="198" w:line="240" w:lineRule="auto"/>
        <w:rPr>
          <w:color w:val="000000"/>
        </w:rPr>
      </w:pPr>
      <w:r w:rsidRPr="00C077B4">
        <w:rPr>
          <w:color w:val="000000"/>
        </w:rPr>
        <w:t>Bengtsson-Palme</w:t>
      </w:r>
      <w:r>
        <w:rPr>
          <w:color w:val="000000"/>
        </w:rPr>
        <w:t xml:space="preserve"> J</w:t>
      </w:r>
      <w:r w:rsidRPr="00C077B4">
        <w:rPr>
          <w:color w:val="000000"/>
        </w:rPr>
        <w:t>, Veldre</w:t>
      </w:r>
      <w:r>
        <w:rPr>
          <w:color w:val="000000"/>
        </w:rPr>
        <w:t xml:space="preserve"> V</w:t>
      </w:r>
      <w:r w:rsidRPr="00C077B4">
        <w:rPr>
          <w:color w:val="000000"/>
        </w:rPr>
        <w:t>, Ryberg</w:t>
      </w:r>
      <w:r>
        <w:rPr>
          <w:color w:val="000000"/>
        </w:rPr>
        <w:t xml:space="preserve"> M</w:t>
      </w:r>
      <w:r w:rsidRPr="00C077B4">
        <w:rPr>
          <w:color w:val="000000"/>
        </w:rPr>
        <w:t xml:space="preserve">, </w:t>
      </w:r>
      <w:r>
        <w:rPr>
          <w:color w:val="000000"/>
        </w:rPr>
        <w:t xml:space="preserve">et al (2013) </w:t>
      </w:r>
      <w:r w:rsidRPr="00C077B4">
        <w:rPr>
          <w:color w:val="000000"/>
        </w:rPr>
        <w:t>ITSx: Improved software detection and extraction of ITS1 and ITS2 from ribosomal ITS sequences of fungi and other eukaryotes for use in environmental sequencing</w:t>
      </w:r>
      <w:r>
        <w:rPr>
          <w:color w:val="000000"/>
        </w:rPr>
        <w:t xml:space="preserve">. </w:t>
      </w:r>
      <w:r w:rsidRPr="00C077B4">
        <w:rPr>
          <w:color w:val="000000"/>
        </w:rPr>
        <w:t>Methods in Ecology and Evolution, 4: 914</w:t>
      </w:r>
      <w:r>
        <w:rPr>
          <w:color w:val="000000"/>
        </w:rPr>
        <w:t xml:space="preserve">-919. </w:t>
      </w:r>
      <w:hyperlink r:id="rId9" w:history="1">
        <w:r w:rsidRPr="00D6381F">
          <w:rPr>
            <w:rStyle w:val="Hyperlink"/>
          </w:rPr>
          <w:t>https://doi.org/10.1111/2041-210X.12073</w:t>
        </w:r>
      </w:hyperlink>
      <w:r>
        <w:rPr>
          <w:color w:val="000000"/>
        </w:rPr>
        <w:t xml:space="preserve"> </w:t>
      </w:r>
    </w:p>
    <w:p w14:paraId="009360C5" w14:textId="34771612" w:rsidR="00DB7D54" w:rsidRDefault="00400331" w:rsidP="00C077B4">
      <w:pPr>
        <w:spacing w:after="198" w:line="240" w:lineRule="auto"/>
      </w:pPr>
      <w:r>
        <w:rPr>
          <w:color w:val="000000"/>
        </w:rPr>
        <w:t xml:space="preserve">Bissett A, Fitzgerald A, Meintjes T, et al (2016) Introducing BASE: the Biomes of Australian Soil Environments soil microbial diversity database. GigaScience 5:21. </w:t>
      </w:r>
      <w:hyperlink r:id="rId10" w:tooltip="https://doi.org/10.1186/s13742-016-0126-5" w:history="1">
        <w:r>
          <w:rPr>
            <w:rStyle w:val="Hyperlink"/>
            <w:color w:val="0563C1"/>
          </w:rPr>
          <w:t>https://doi.org/10.1186/s13742-016-0126-5</w:t>
        </w:r>
      </w:hyperlink>
    </w:p>
    <w:p w14:paraId="30F427F4" w14:textId="77777777" w:rsidR="00DB7D54" w:rsidRDefault="00400331">
      <w:pPr>
        <w:spacing w:after="198" w:line="240" w:lineRule="auto"/>
      </w:pPr>
      <w:r>
        <w:rPr>
          <w:color w:val="000000"/>
        </w:rPr>
        <w:t xml:space="preserve">Caporaso JG, Lauber CL, Walters WA, et al (2011) Global patterns of 16S rRNA diversity at a depth of millions of sequences per sample. PNAS 108:4516–4522. </w:t>
      </w:r>
      <w:hyperlink r:id="rId11" w:tooltip="https://doi.org/10.1073/pnas.1000080107" w:history="1">
        <w:r>
          <w:rPr>
            <w:rStyle w:val="Hyperlink"/>
            <w:color w:val="0563C1"/>
          </w:rPr>
          <w:t>https://doi.org/10.1073/pnas.1000080107</w:t>
        </w:r>
      </w:hyperlink>
    </w:p>
    <w:p w14:paraId="21AD92EF" w14:textId="77777777" w:rsidR="00DB7D54" w:rsidRDefault="00400331">
      <w:pPr>
        <w:spacing w:after="198" w:line="240" w:lineRule="auto"/>
      </w:pPr>
      <w:r>
        <w:rPr>
          <w:color w:val="000000"/>
        </w:rPr>
        <w:t xml:space="preserve">DeSantis TZ, Hugenholtz P, Larsen N, et al (2006) Greengenes, a Chimera-Checked 16S rRNA Gene Database and Workbench Compatible with ARB. Appl Environ Microbiol 72:5069–5072. </w:t>
      </w:r>
      <w:hyperlink r:id="rId12" w:tooltip="https://doi.org/10.1128/AEM.03006-05" w:history="1">
        <w:r>
          <w:rPr>
            <w:rStyle w:val="Hyperlink"/>
            <w:color w:val="0563C1"/>
          </w:rPr>
          <w:t>https://doi.org/10.1128/AEM.03006-05</w:t>
        </w:r>
      </w:hyperlink>
    </w:p>
    <w:p w14:paraId="1AEAB142" w14:textId="77777777" w:rsidR="00DB7D54" w:rsidRDefault="00400331">
      <w:pPr>
        <w:spacing w:after="198" w:line="240" w:lineRule="auto"/>
      </w:pPr>
      <w:r>
        <w:rPr>
          <w:color w:val="000000"/>
        </w:rPr>
        <w:t xml:space="preserve">Douglas, G.M., Maffei, V.J., Zaneveld, J.R., Yurgel, S.N., Brown, J.R., Taylor, C.M., Huttenhower, C., Langille, M.G.I., 2020. PICRUSt2 for prediction of metagenome functions. Nat Biotechnol 38, 685–688. </w:t>
      </w:r>
      <w:hyperlink r:id="rId13" w:tooltip="https://doi.org/10.1038/s41587-020-0548-6" w:history="1">
        <w:r>
          <w:rPr>
            <w:rStyle w:val="Hyperlink"/>
            <w:color w:val="0563C1"/>
          </w:rPr>
          <w:t>https://doi.org/10.1038/s41587-020-0548-6</w:t>
        </w:r>
      </w:hyperlink>
    </w:p>
    <w:p w14:paraId="389EE551" w14:textId="77777777" w:rsidR="00DB7D54" w:rsidRDefault="00400331">
      <w:pPr>
        <w:spacing w:after="198" w:line="240" w:lineRule="auto"/>
      </w:pPr>
      <w:r>
        <w:rPr>
          <w:color w:val="000000"/>
        </w:rPr>
        <w:t>Edgar RC (2010) Search and clustering orders of magnitude faster than BLAST. Bioinformatics 26:2460–2461</w:t>
      </w:r>
    </w:p>
    <w:p w14:paraId="42D01653" w14:textId="77777777" w:rsidR="00DB7D54" w:rsidRDefault="00400331">
      <w:pPr>
        <w:spacing w:after="198" w:line="240" w:lineRule="auto"/>
      </w:pPr>
      <w:r>
        <w:rPr>
          <w:color w:val="000000"/>
        </w:rPr>
        <w:t xml:space="preserve">Louca, S., Doebeli, M., 2018. Efficient comparative phylogenetics on large trees. Bioinformatics 34, 1053–1055. </w:t>
      </w:r>
      <w:hyperlink r:id="rId14" w:tooltip="https://doi.org/10.1093/bioinformatics/btx701" w:history="1">
        <w:r>
          <w:rPr>
            <w:rStyle w:val="Hyperlink"/>
            <w:color w:val="0563C1"/>
          </w:rPr>
          <w:t>https://doi.org/10.1093/bioinformatics/btx701</w:t>
        </w:r>
      </w:hyperlink>
    </w:p>
    <w:p w14:paraId="43F551A8" w14:textId="77777777" w:rsidR="00DB7D54" w:rsidRDefault="00400331">
      <w:pPr>
        <w:spacing w:after="198" w:line="240" w:lineRule="auto"/>
      </w:pPr>
      <w:r>
        <w:rPr>
          <w:color w:val="000000"/>
        </w:rPr>
        <w:t xml:space="preserve">Ho, A., Di Lonardo, D.P., Bodelier, P.L.E., 2017. Revisiting life strategy concepts in environmental microbial ecology. FEMS Microbiology Ecology 93. </w:t>
      </w:r>
      <w:hyperlink r:id="rId15" w:tooltip="https://doi.org/10.1093/femsec/fix006" w:history="1">
        <w:r>
          <w:rPr>
            <w:rStyle w:val="Hyperlink"/>
            <w:color w:val="0563C1"/>
          </w:rPr>
          <w:t>https://doi.org/10.1093/femsec/fix006</w:t>
        </w:r>
      </w:hyperlink>
    </w:p>
    <w:p w14:paraId="354A7C43" w14:textId="77777777" w:rsidR="00DB7D54" w:rsidRDefault="00400331">
      <w:pPr>
        <w:spacing w:after="198" w:line="240" w:lineRule="auto"/>
      </w:pPr>
      <w:r>
        <w:rPr>
          <w:color w:val="000000"/>
        </w:rPr>
        <w:t xml:space="preserve">Ihrmark K, Bödeker ITM, Cruz-Martinez K, et al (2012) New primers to amplify the fungal ITS2 region – evaluation by 454-sequencing of artificial and natural communities. FEMS Microbiol Ecol 82:666–677. </w:t>
      </w:r>
      <w:hyperlink r:id="rId16" w:tooltip="https://doi.org/10.1111/j.1574-6941.2012.01437.x" w:history="1">
        <w:r>
          <w:rPr>
            <w:rStyle w:val="Hyperlink"/>
            <w:color w:val="0563C1"/>
          </w:rPr>
          <w:t>https://doi.org/10.1111/j.1574-6941.2012.01437.x</w:t>
        </w:r>
      </w:hyperlink>
    </w:p>
    <w:p w14:paraId="058DF534" w14:textId="77777777" w:rsidR="00DB7D54" w:rsidRDefault="00400331">
      <w:pPr>
        <w:spacing w:after="198" w:line="240" w:lineRule="auto"/>
        <w:rPr>
          <w:color w:val="000000"/>
        </w:rPr>
      </w:pPr>
      <w:r>
        <w:rPr>
          <w:color w:val="000000"/>
        </w:rPr>
        <w:t xml:space="preserve">S. Mirarab, N. Nguyen, and T. Warnow, SEPP: SATe-enabled phylogenetic placement, Proceedings of the Pacific Symposium of Biocomputing 2012, pages 247-58 </w:t>
      </w:r>
      <w:hyperlink r:id="rId17" w:tooltip="http://www.ncbi.nlm.nih.gov/pubmed/22174280#" w:history="1">
        <w:r>
          <w:rPr>
            <w:rStyle w:val="Hyperlink"/>
            <w:color w:val="0563C1"/>
          </w:rPr>
          <w:t>http://www.ncbi.nlm.nih.gov/pubmed/22174280#</w:t>
        </w:r>
      </w:hyperlink>
      <w:r>
        <w:rPr>
          <w:color w:val="000000"/>
        </w:rPr>
        <w:t>.</w:t>
      </w:r>
    </w:p>
    <w:p w14:paraId="32047DB8" w14:textId="77777777" w:rsidR="00DB7D54" w:rsidRDefault="00400331">
      <w:pPr>
        <w:spacing w:after="198" w:line="240" w:lineRule="auto"/>
      </w:pPr>
      <w:r>
        <w:rPr>
          <w:color w:val="000000"/>
        </w:rPr>
        <w:lastRenderedPageBreak/>
        <w:t xml:space="preserve">Nguyen NH, Song Z, Bates ST, et al (2016) FUNGuild: An open annotation tool for parsing fungal community datasets by ecological guild. Fungal Ecology 20:241–248. </w:t>
      </w:r>
      <w:hyperlink r:id="rId18" w:tooltip="https://doi.org/10.1016/j.funeco.2015.06.006" w:history="1">
        <w:r>
          <w:rPr>
            <w:rStyle w:val="Hyperlink"/>
            <w:color w:val="0563C1"/>
          </w:rPr>
          <w:t>https://doi.org/10.1016/j.funeco.2015.06.006</w:t>
        </w:r>
      </w:hyperlink>
    </w:p>
    <w:p w14:paraId="7157CDAA" w14:textId="77777777" w:rsidR="00DB7D54" w:rsidRDefault="00400331">
      <w:pPr>
        <w:spacing w:after="198" w:line="240" w:lineRule="auto"/>
        <w:rPr>
          <w:color w:val="000000"/>
        </w:rPr>
      </w:pPr>
      <w:r>
        <w:rPr>
          <w:color w:val="000000"/>
        </w:rPr>
        <w:t>Jari Oksanen, F. Guillaume Blanchet, Michael Friendly, Roeland Kindt, Pierre Legendre, Dan  McGlinn, Peter R. Minchin, R. B. O'Hara, Gavin L. Simpson, Peter Solymos, M. Henry H. Stevens,  Eduard Szoecs and Helene Wagner (2020). vegan: Community Ecology Package. R package version  2.5-7. https://CRAN.R-project.org/package=vegan</w:t>
      </w:r>
    </w:p>
    <w:p w14:paraId="5079DA15" w14:textId="77777777" w:rsidR="00DB7D54" w:rsidRDefault="00400331">
      <w:pPr>
        <w:spacing w:after="198" w:line="240" w:lineRule="auto"/>
      </w:pPr>
      <w:r>
        <w:rPr>
          <w:color w:val="000000"/>
        </w:rPr>
        <w:t>Rognes T, Flouri T, Nichols B, et al (2016) VSEARCH: a versatile open source tool for metagenomics. PeerJ 4:e2584</w:t>
      </w:r>
    </w:p>
    <w:p w14:paraId="6DB0440C" w14:textId="77777777" w:rsidR="00DB7D54" w:rsidRDefault="00400331">
      <w:pPr>
        <w:spacing w:after="198" w:line="240" w:lineRule="auto"/>
        <w:rPr>
          <w:color w:val="000000"/>
        </w:rPr>
      </w:pPr>
      <w:r>
        <w:rPr>
          <w:color w:val="000000"/>
        </w:rPr>
        <w:t>Schloss PD, Westcott SL, Ryabin T, et al (2009) Introducing mothur: open-source, platform-independent, community-supported software for describing and comparing microbial communities. Applied and environmental microbiology 75:7537–7541</w:t>
      </w:r>
    </w:p>
    <w:p w14:paraId="1E2F7A32" w14:textId="77777777" w:rsidR="00DB7D54" w:rsidRDefault="00400331">
      <w:pPr>
        <w:spacing w:after="198" w:line="240" w:lineRule="auto"/>
      </w:pPr>
      <w:r>
        <w:rPr>
          <w:color w:val="000000"/>
        </w:rPr>
        <w:t>Vavrek, Matthew J. 2011. fossil: palaeoecological and palaeogeographical analysis tools.  Palaeontologia Electronica, 14:1T. http://palaeo-electronica.org/2011_1/238/index.html</w:t>
      </w:r>
    </w:p>
    <w:p w14:paraId="1E6F9121" w14:textId="77777777" w:rsidR="00DB7D54" w:rsidRDefault="00400331">
      <w:pPr>
        <w:spacing w:after="198" w:line="240" w:lineRule="auto"/>
        <w:rPr>
          <w:color w:val="000000"/>
        </w:rPr>
      </w:pPr>
      <w:r>
        <w:rPr>
          <w:color w:val="000000"/>
        </w:rPr>
        <w:t>White T, Bruns T, Lee S, Taylor J (1990) Amplification and direct sequencing of fungal ribosomal RNA genes for phylogenetics. In: PCR protocols: a guide to methods and applications. Academic Press, New York</w:t>
      </w:r>
    </w:p>
    <w:p w14:paraId="391F64F9" w14:textId="77777777" w:rsidR="00DB7D54" w:rsidRDefault="00400331">
      <w:pPr>
        <w:spacing w:after="198" w:line="240" w:lineRule="auto"/>
      </w:pPr>
      <w:r>
        <w:rPr>
          <w:color w:val="000000"/>
        </w:rPr>
        <w:t xml:space="preserve">Ye, Y., Doak, T.G., 2009. A Parsimony Approach to Biological Pathway Reconstruction/Inference for Genomes and Metagenomes. PLOS Computational Biology 5, e1000465. </w:t>
      </w:r>
      <w:hyperlink r:id="rId19" w:tooltip="https://doi.org/10.1371/journal.pcbi.1000465" w:history="1">
        <w:r>
          <w:rPr>
            <w:rStyle w:val="Hyperlink"/>
            <w:color w:val="0563C1"/>
          </w:rPr>
          <w:t>https://doi.org/10.1371/journal.pcbi.1000465</w:t>
        </w:r>
      </w:hyperlink>
    </w:p>
    <w:p w14:paraId="047170F6" w14:textId="77777777" w:rsidR="00DB7D54" w:rsidRDefault="00DB7D54">
      <w:pPr>
        <w:spacing w:after="198" w:line="240" w:lineRule="auto"/>
      </w:pPr>
    </w:p>
    <w:p w14:paraId="0F07524E" w14:textId="77777777" w:rsidR="00DB7D54" w:rsidRDefault="00DB7D54">
      <w:pPr>
        <w:spacing w:after="198" w:line="240" w:lineRule="auto"/>
      </w:pPr>
    </w:p>
    <w:sectPr w:rsidR="00DB7D54">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08564" w14:textId="77777777" w:rsidR="00884587" w:rsidRDefault="00884587">
      <w:pPr>
        <w:spacing w:after="0" w:line="240" w:lineRule="auto"/>
      </w:pPr>
      <w:r>
        <w:separator/>
      </w:r>
    </w:p>
  </w:endnote>
  <w:endnote w:type="continuationSeparator" w:id="0">
    <w:p w14:paraId="2197C542" w14:textId="77777777" w:rsidR="00884587" w:rsidRDefault="0088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DEAD3" w14:textId="77777777" w:rsidR="00884587" w:rsidRDefault="00884587">
      <w:pPr>
        <w:spacing w:after="0" w:line="240" w:lineRule="auto"/>
      </w:pPr>
      <w:r>
        <w:separator/>
      </w:r>
    </w:p>
  </w:footnote>
  <w:footnote w:type="continuationSeparator" w:id="0">
    <w:p w14:paraId="621AF3B0" w14:textId="77777777" w:rsidR="00884587" w:rsidRDefault="0088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B7AAA"/>
    <w:multiLevelType w:val="hybridMultilevel"/>
    <w:tmpl w:val="24BA364E"/>
    <w:lvl w:ilvl="0" w:tplc="BC86F048">
      <w:start w:val="1"/>
      <w:numFmt w:val="decimal"/>
      <w:lvlText w:val="%1)"/>
      <w:lvlJc w:val="left"/>
      <w:pPr>
        <w:ind w:left="709" w:hanging="360"/>
      </w:pPr>
    </w:lvl>
    <w:lvl w:ilvl="1" w:tplc="811EF512">
      <w:start w:val="1"/>
      <w:numFmt w:val="lowerLetter"/>
      <w:lvlText w:val="%2."/>
      <w:lvlJc w:val="left"/>
      <w:pPr>
        <w:ind w:left="1429" w:hanging="360"/>
      </w:pPr>
    </w:lvl>
    <w:lvl w:ilvl="2" w:tplc="59823FD8">
      <w:start w:val="1"/>
      <w:numFmt w:val="lowerRoman"/>
      <w:lvlText w:val="%3."/>
      <w:lvlJc w:val="right"/>
      <w:pPr>
        <w:ind w:left="2149" w:hanging="180"/>
      </w:pPr>
    </w:lvl>
    <w:lvl w:ilvl="3" w:tplc="979CA0EA">
      <w:start w:val="1"/>
      <w:numFmt w:val="decimal"/>
      <w:lvlText w:val="%4."/>
      <w:lvlJc w:val="left"/>
      <w:pPr>
        <w:ind w:left="2869" w:hanging="360"/>
      </w:pPr>
    </w:lvl>
    <w:lvl w:ilvl="4" w:tplc="D0409DEE">
      <w:start w:val="1"/>
      <w:numFmt w:val="lowerLetter"/>
      <w:lvlText w:val="%5."/>
      <w:lvlJc w:val="left"/>
      <w:pPr>
        <w:ind w:left="3589" w:hanging="360"/>
      </w:pPr>
    </w:lvl>
    <w:lvl w:ilvl="5" w:tplc="638C64AC">
      <w:start w:val="1"/>
      <w:numFmt w:val="lowerRoman"/>
      <w:lvlText w:val="%6."/>
      <w:lvlJc w:val="right"/>
      <w:pPr>
        <w:ind w:left="4309" w:hanging="180"/>
      </w:pPr>
    </w:lvl>
    <w:lvl w:ilvl="6" w:tplc="AB324F26">
      <w:start w:val="1"/>
      <w:numFmt w:val="decimal"/>
      <w:lvlText w:val="%7."/>
      <w:lvlJc w:val="left"/>
      <w:pPr>
        <w:ind w:left="5029" w:hanging="360"/>
      </w:pPr>
    </w:lvl>
    <w:lvl w:ilvl="7" w:tplc="EFDA083E">
      <w:start w:val="1"/>
      <w:numFmt w:val="lowerLetter"/>
      <w:lvlText w:val="%8."/>
      <w:lvlJc w:val="left"/>
      <w:pPr>
        <w:ind w:left="5749" w:hanging="360"/>
      </w:pPr>
    </w:lvl>
    <w:lvl w:ilvl="8" w:tplc="707A70EA">
      <w:start w:val="1"/>
      <w:numFmt w:val="lowerRoman"/>
      <w:lvlText w:val="%9."/>
      <w:lvlJc w:val="right"/>
      <w:pPr>
        <w:ind w:left="6469" w:hanging="180"/>
      </w:pPr>
    </w:lvl>
  </w:abstractNum>
  <w:abstractNum w:abstractNumId="1" w15:restartNumberingAfterBreak="0">
    <w:nsid w:val="2B2F6799"/>
    <w:multiLevelType w:val="hybridMultilevel"/>
    <w:tmpl w:val="5A68DCEE"/>
    <w:lvl w:ilvl="0" w:tplc="19B8F46E">
      <w:start w:val="1"/>
      <w:numFmt w:val="decimal"/>
      <w:lvlText w:val="%1)"/>
      <w:lvlJc w:val="left"/>
      <w:pPr>
        <w:ind w:left="709" w:hanging="360"/>
      </w:pPr>
    </w:lvl>
    <w:lvl w:ilvl="1" w:tplc="B064A242">
      <w:start w:val="1"/>
      <w:numFmt w:val="lowerLetter"/>
      <w:lvlText w:val="%2."/>
      <w:lvlJc w:val="left"/>
      <w:pPr>
        <w:ind w:left="1429" w:hanging="360"/>
      </w:pPr>
    </w:lvl>
    <w:lvl w:ilvl="2" w:tplc="39827E8A">
      <w:start w:val="1"/>
      <w:numFmt w:val="lowerRoman"/>
      <w:lvlText w:val="%3."/>
      <w:lvlJc w:val="right"/>
      <w:pPr>
        <w:ind w:left="2149" w:hanging="180"/>
      </w:pPr>
    </w:lvl>
    <w:lvl w:ilvl="3" w:tplc="E58488CA">
      <w:start w:val="1"/>
      <w:numFmt w:val="decimal"/>
      <w:lvlText w:val="%4."/>
      <w:lvlJc w:val="left"/>
      <w:pPr>
        <w:ind w:left="2869" w:hanging="360"/>
      </w:pPr>
    </w:lvl>
    <w:lvl w:ilvl="4" w:tplc="3928089A">
      <w:start w:val="1"/>
      <w:numFmt w:val="lowerLetter"/>
      <w:lvlText w:val="%5."/>
      <w:lvlJc w:val="left"/>
      <w:pPr>
        <w:ind w:left="3589" w:hanging="360"/>
      </w:pPr>
    </w:lvl>
    <w:lvl w:ilvl="5" w:tplc="6406D190">
      <w:start w:val="1"/>
      <w:numFmt w:val="lowerRoman"/>
      <w:lvlText w:val="%6."/>
      <w:lvlJc w:val="right"/>
      <w:pPr>
        <w:ind w:left="4309" w:hanging="180"/>
      </w:pPr>
    </w:lvl>
    <w:lvl w:ilvl="6" w:tplc="02C8F800">
      <w:start w:val="1"/>
      <w:numFmt w:val="decimal"/>
      <w:lvlText w:val="%7."/>
      <w:lvlJc w:val="left"/>
      <w:pPr>
        <w:ind w:left="5029" w:hanging="360"/>
      </w:pPr>
    </w:lvl>
    <w:lvl w:ilvl="7" w:tplc="A1F4B1CC">
      <w:start w:val="1"/>
      <w:numFmt w:val="lowerLetter"/>
      <w:lvlText w:val="%8."/>
      <w:lvlJc w:val="left"/>
      <w:pPr>
        <w:ind w:left="5749" w:hanging="360"/>
      </w:pPr>
    </w:lvl>
    <w:lvl w:ilvl="8" w:tplc="7AD6D1E4">
      <w:start w:val="1"/>
      <w:numFmt w:val="lowerRoman"/>
      <w:lvlText w:val="%9."/>
      <w:lvlJc w:val="right"/>
      <w:pPr>
        <w:ind w:left="6469" w:hanging="180"/>
      </w:pPr>
    </w:lvl>
  </w:abstractNum>
  <w:abstractNum w:abstractNumId="2" w15:restartNumberingAfterBreak="0">
    <w:nsid w:val="32E66725"/>
    <w:multiLevelType w:val="hybridMultilevel"/>
    <w:tmpl w:val="8D1AC882"/>
    <w:lvl w:ilvl="0" w:tplc="BDCE333C">
      <w:start w:val="1"/>
      <w:numFmt w:val="decimal"/>
      <w:lvlText w:val="%1)"/>
      <w:lvlJc w:val="left"/>
      <w:pPr>
        <w:ind w:left="709" w:hanging="360"/>
      </w:pPr>
    </w:lvl>
    <w:lvl w:ilvl="1" w:tplc="16D65EDA">
      <w:start w:val="1"/>
      <w:numFmt w:val="lowerLetter"/>
      <w:lvlText w:val="%2."/>
      <w:lvlJc w:val="left"/>
      <w:pPr>
        <w:ind w:left="1429" w:hanging="360"/>
      </w:pPr>
    </w:lvl>
    <w:lvl w:ilvl="2" w:tplc="3086D96A">
      <w:start w:val="1"/>
      <w:numFmt w:val="lowerRoman"/>
      <w:lvlText w:val="%3."/>
      <w:lvlJc w:val="right"/>
      <w:pPr>
        <w:ind w:left="2149" w:hanging="180"/>
      </w:pPr>
    </w:lvl>
    <w:lvl w:ilvl="3" w:tplc="68142BCC">
      <w:start w:val="1"/>
      <w:numFmt w:val="decimal"/>
      <w:lvlText w:val="%4."/>
      <w:lvlJc w:val="left"/>
      <w:pPr>
        <w:ind w:left="2869" w:hanging="360"/>
      </w:pPr>
    </w:lvl>
    <w:lvl w:ilvl="4" w:tplc="834A4EB2">
      <w:start w:val="1"/>
      <w:numFmt w:val="lowerLetter"/>
      <w:lvlText w:val="%5."/>
      <w:lvlJc w:val="left"/>
      <w:pPr>
        <w:ind w:left="3589" w:hanging="360"/>
      </w:pPr>
    </w:lvl>
    <w:lvl w:ilvl="5" w:tplc="6792CA3E">
      <w:start w:val="1"/>
      <w:numFmt w:val="lowerRoman"/>
      <w:lvlText w:val="%6."/>
      <w:lvlJc w:val="right"/>
      <w:pPr>
        <w:ind w:left="4309" w:hanging="180"/>
      </w:pPr>
    </w:lvl>
    <w:lvl w:ilvl="6" w:tplc="29D05DBA">
      <w:start w:val="1"/>
      <w:numFmt w:val="decimal"/>
      <w:lvlText w:val="%7."/>
      <w:lvlJc w:val="left"/>
      <w:pPr>
        <w:ind w:left="5029" w:hanging="360"/>
      </w:pPr>
    </w:lvl>
    <w:lvl w:ilvl="7" w:tplc="2786C912">
      <w:start w:val="1"/>
      <w:numFmt w:val="lowerLetter"/>
      <w:lvlText w:val="%8."/>
      <w:lvlJc w:val="left"/>
      <w:pPr>
        <w:ind w:left="5749" w:hanging="360"/>
      </w:pPr>
    </w:lvl>
    <w:lvl w:ilvl="8" w:tplc="70A852C4">
      <w:start w:val="1"/>
      <w:numFmt w:val="lowerRoman"/>
      <w:lvlText w:val="%9."/>
      <w:lvlJc w:val="right"/>
      <w:pPr>
        <w:ind w:left="6469" w:hanging="180"/>
      </w:pPr>
    </w:lvl>
  </w:abstractNum>
  <w:abstractNum w:abstractNumId="3" w15:restartNumberingAfterBreak="0">
    <w:nsid w:val="36A76BEE"/>
    <w:multiLevelType w:val="hybridMultilevel"/>
    <w:tmpl w:val="CE74BE80"/>
    <w:lvl w:ilvl="0" w:tplc="D6A4D6E2">
      <w:start w:val="1"/>
      <w:numFmt w:val="decimal"/>
      <w:lvlText w:val="%1)"/>
      <w:lvlJc w:val="left"/>
      <w:pPr>
        <w:ind w:left="709" w:hanging="360"/>
      </w:pPr>
    </w:lvl>
    <w:lvl w:ilvl="1" w:tplc="521419EA">
      <w:start w:val="1"/>
      <w:numFmt w:val="lowerLetter"/>
      <w:lvlText w:val="%2."/>
      <w:lvlJc w:val="left"/>
      <w:pPr>
        <w:ind w:left="1429" w:hanging="360"/>
      </w:pPr>
    </w:lvl>
    <w:lvl w:ilvl="2" w:tplc="6980E03E">
      <w:start w:val="1"/>
      <w:numFmt w:val="lowerRoman"/>
      <w:lvlText w:val="%3."/>
      <w:lvlJc w:val="right"/>
      <w:pPr>
        <w:ind w:left="2149" w:hanging="180"/>
      </w:pPr>
    </w:lvl>
    <w:lvl w:ilvl="3" w:tplc="61B84C94">
      <w:start w:val="1"/>
      <w:numFmt w:val="decimal"/>
      <w:lvlText w:val="%4."/>
      <w:lvlJc w:val="left"/>
      <w:pPr>
        <w:ind w:left="2869" w:hanging="360"/>
      </w:pPr>
    </w:lvl>
    <w:lvl w:ilvl="4" w:tplc="3D76349A">
      <w:start w:val="1"/>
      <w:numFmt w:val="lowerLetter"/>
      <w:lvlText w:val="%5."/>
      <w:lvlJc w:val="left"/>
      <w:pPr>
        <w:ind w:left="3589" w:hanging="360"/>
      </w:pPr>
    </w:lvl>
    <w:lvl w:ilvl="5" w:tplc="5DBC8AC4">
      <w:start w:val="1"/>
      <w:numFmt w:val="lowerRoman"/>
      <w:lvlText w:val="%6."/>
      <w:lvlJc w:val="right"/>
      <w:pPr>
        <w:ind w:left="4309" w:hanging="180"/>
      </w:pPr>
    </w:lvl>
    <w:lvl w:ilvl="6" w:tplc="202EE360">
      <w:start w:val="1"/>
      <w:numFmt w:val="decimal"/>
      <w:lvlText w:val="%7."/>
      <w:lvlJc w:val="left"/>
      <w:pPr>
        <w:ind w:left="5029" w:hanging="360"/>
      </w:pPr>
    </w:lvl>
    <w:lvl w:ilvl="7" w:tplc="619E5306">
      <w:start w:val="1"/>
      <w:numFmt w:val="lowerLetter"/>
      <w:lvlText w:val="%8."/>
      <w:lvlJc w:val="left"/>
      <w:pPr>
        <w:ind w:left="5749" w:hanging="360"/>
      </w:pPr>
    </w:lvl>
    <w:lvl w:ilvl="8" w:tplc="78FE493A">
      <w:start w:val="1"/>
      <w:numFmt w:val="lowerRoman"/>
      <w:lvlText w:val="%9."/>
      <w:lvlJc w:val="right"/>
      <w:pPr>
        <w:ind w:left="6469" w:hanging="180"/>
      </w:pPr>
    </w:lvl>
  </w:abstractNum>
  <w:abstractNum w:abstractNumId="4" w15:restartNumberingAfterBreak="0">
    <w:nsid w:val="4DBA14A8"/>
    <w:multiLevelType w:val="hybridMultilevel"/>
    <w:tmpl w:val="53D6BDB6"/>
    <w:lvl w:ilvl="0" w:tplc="6378521A">
      <w:start w:val="1"/>
      <w:numFmt w:val="decimal"/>
      <w:lvlText w:val="%1)"/>
      <w:lvlJc w:val="left"/>
      <w:pPr>
        <w:ind w:left="709" w:hanging="360"/>
      </w:pPr>
    </w:lvl>
    <w:lvl w:ilvl="1" w:tplc="24E49496">
      <w:start w:val="1"/>
      <w:numFmt w:val="lowerLetter"/>
      <w:lvlText w:val="%2."/>
      <w:lvlJc w:val="left"/>
      <w:pPr>
        <w:ind w:left="1429" w:hanging="360"/>
      </w:pPr>
    </w:lvl>
    <w:lvl w:ilvl="2" w:tplc="CD3E7718">
      <w:start w:val="1"/>
      <w:numFmt w:val="lowerRoman"/>
      <w:lvlText w:val="%3."/>
      <w:lvlJc w:val="right"/>
      <w:pPr>
        <w:ind w:left="2149" w:hanging="180"/>
      </w:pPr>
    </w:lvl>
    <w:lvl w:ilvl="3" w:tplc="6D46B738">
      <w:start w:val="1"/>
      <w:numFmt w:val="decimal"/>
      <w:lvlText w:val="%4."/>
      <w:lvlJc w:val="left"/>
      <w:pPr>
        <w:ind w:left="2869" w:hanging="360"/>
      </w:pPr>
    </w:lvl>
    <w:lvl w:ilvl="4" w:tplc="822EB2C4">
      <w:start w:val="1"/>
      <w:numFmt w:val="lowerLetter"/>
      <w:lvlText w:val="%5."/>
      <w:lvlJc w:val="left"/>
      <w:pPr>
        <w:ind w:left="3589" w:hanging="360"/>
      </w:pPr>
    </w:lvl>
    <w:lvl w:ilvl="5" w:tplc="89D415C8">
      <w:start w:val="1"/>
      <w:numFmt w:val="lowerRoman"/>
      <w:lvlText w:val="%6."/>
      <w:lvlJc w:val="right"/>
      <w:pPr>
        <w:ind w:left="4309" w:hanging="180"/>
      </w:pPr>
    </w:lvl>
    <w:lvl w:ilvl="6" w:tplc="1FA6A830">
      <w:start w:val="1"/>
      <w:numFmt w:val="decimal"/>
      <w:lvlText w:val="%7."/>
      <w:lvlJc w:val="left"/>
      <w:pPr>
        <w:ind w:left="5029" w:hanging="360"/>
      </w:pPr>
    </w:lvl>
    <w:lvl w:ilvl="7" w:tplc="CAA23566">
      <w:start w:val="1"/>
      <w:numFmt w:val="lowerLetter"/>
      <w:lvlText w:val="%8."/>
      <w:lvlJc w:val="left"/>
      <w:pPr>
        <w:ind w:left="5749" w:hanging="360"/>
      </w:pPr>
    </w:lvl>
    <w:lvl w:ilvl="8" w:tplc="F4EA6114">
      <w:start w:val="1"/>
      <w:numFmt w:val="lowerRoman"/>
      <w:lvlText w:val="%9."/>
      <w:lvlJc w:val="right"/>
      <w:pPr>
        <w:ind w:left="6469" w:hanging="180"/>
      </w:pPr>
    </w:lvl>
  </w:abstractNum>
  <w:abstractNum w:abstractNumId="5" w15:restartNumberingAfterBreak="0">
    <w:nsid w:val="50D4088D"/>
    <w:multiLevelType w:val="hybridMultilevel"/>
    <w:tmpl w:val="95E02882"/>
    <w:lvl w:ilvl="0" w:tplc="57B077CA">
      <w:start w:val="1"/>
      <w:numFmt w:val="decimal"/>
      <w:lvlText w:val="%1)"/>
      <w:lvlJc w:val="left"/>
      <w:pPr>
        <w:ind w:left="709" w:hanging="360"/>
      </w:pPr>
    </w:lvl>
    <w:lvl w:ilvl="1" w:tplc="EA86D90E">
      <w:start w:val="1"/>
      <w:numFmt w:val="lowerLetter"/>
      <w:lvlText w:val="%2."/>
      <w:lvlJc w:val="left"/>
      <w:pPr>
        <w:ind w:left="1429" w:hanging="360"/>
      </w:pPr>
    </w:lvl>
    <w:lvl w:ilvl="2" w:tplc="825A396E">
      <w:start w:val="1"/>
      <w:numFmt w:val="lowerRoman"/>
      <w:lvlText w:val="%3."/>
      <w:lvlJc w:val="right"/>
      <w:pPr>
        <w:ind w:left="2149" w:hanging="180"/>
      </w:pPr>
    </w:lvl>
    <w:lvl w:ilvl="3" w:tplc="9E1E5B28">
      <w:start w:val="1"/>
      <w:numFmt w:val="decimal"/>
      <w:lvlText w:val="%4."/>
      <w:lvlJc w:val="left"/>
      <w:pPr>
        <w:ind w:left="2869" w:hanging="360"/>
      </w:pPr>
    </w:lvl>
    <w:lvl w:ilvl="4" w:tplc="6696E156">
      <w:start w:val="1"/>
      <w:numFmt w:val="lowerLetter"/>
      <w:lvlText w:val="%5."/>
      <w:lvlJc w:val="left"/>
      <w:pPr>
        <w:ind w:left="3589" w:hanging="360"/>
      </w:pPr>
    </w:lvl>
    <w:lvl w:ilvl="5" w:tplc="64825E98">
      <w:start w:val="1"/>
      <w:numFmt w:val="lowerRoman"/>
      <w:lvlText w:val="%6."/>
      <w:lvlJc w:val="right"/>
      <w:pPr>
        <w:ind w:left="4309" w:hanging="180"/>
      </w:pPr>
    </w:lvl>
    <w:lvl w:ilvl="6" w:tplc="4CFA6BB2">
      <w:start w:val="1"/>
      <w:numFmt w:val="decimal"/>
      <w:lvlText w:val="%7."/>
      <w:lvlJc w:val="left"/>
      <w:pPr>
        <w:ind w:left="5029" w:hanging="360"/>
      </w:pPr>
    </w:lvl>
    <w:lvl w:ilvl="7" w:tplc="E42CFCE2">
      <w:start w:val="1"/>
      <w:numFmt w:val="lowerLetter"/>
      <w:lvlText w:val="%8."/>
      <w:lvlJc w:val="left"/>
      <w:pPr>
        <w:ind w:left="5749" w:hanging="360"/>
      </w:pPr>
    </w:lvl>
    <w:lvl w:ilvl="8" w:tplc="1FB25D94">
      <w:start w:val="1"/>
      <w:numFmt w:val="lowerRoman"/>
      <w:lvlText w:val="%9."/>
      <w:lvlJc w:val="right"/>
      <w:pPr>
        <w:ind w:left="6469" w:hanging="180"/>
      </w:pPr>
    </w:lvl>
  </w:abstractNum>
  <w:abstractNum w:abstractNumId="6" w15:restartNumberingAfterBreak="0">
    <w:nsid w:val="63230D75"/>
    <w:multiLevelType w:val="hybridMultilevel"/>
    <w:tmpl w:val="D2DCD77A"/>
    <w:lvl w:ilvl="0" w:tplc="F63E3040">
      <w:start w:val="1"/>
      <w:numFmt w:val="decimal"/>
      <w:lvlText w:val="%1)"/>
      <w:lvlJc w:val="left"/>
      <w:pPr>
        <w:ind w:left="709" w:hanging="360"/>
      </w:pPr>
    </w:lvl>
    <w:lvl w:ilvl="1" w:tplc="6B7AA0A8">
      <w:start w:val="1"/>
      <w:numFmt w:val="lowerLetter"/>
      <w:lvlText w:val="%2."/>
      <w:lvlJc w:val="left"/>
      <w:pPr>
        <w:ind w:left="1429" w:hanging="360"/>
      </w:pPr>
    </w:lvl>
    <w:lvl w:ilvl="2" w:tplc="C2582520">
      <w:start w:val="1"/>
      <w:numFmt w:val="lowerRoman"/>
      <w:lvlText w:val="%3."/>
      <w:lvlJc w:val="right"/>
      <w:pPr>
        <w:ind w:left="2149" w:hanging="180"/>
      </w:pPr>
    </w:lvl>
    <w:lvl w:ilvl="3" w:tplc="AEA8115A">
      <w:start w:val="1"/>
      <w:numFmt w:val="decimal"/>
      <w:lvlText w:val="%4."/>
      <w:lvlJc w:val="left"/>
      <w:pPr>
        <w:ind w:left="2869" w:hanging="360"/>
      </w:pPr>
    </w:lvl>
    <w:lvl w:ilvl="4" w:tplc="F6AE229A">
      <w:start w:val="1"/>
      <w:numFmt w:val="lowerLetter"/>
      <w:lvlText w:val="%5."/>
      <w:lvlJc w:val="left"/>
      <w:pPr>
        <w:ind w:left="3589" w:hanging="360"/>
      </w:pPr>
    </w:lvl>
    <w:lvl w:ilvl="5" w:tplc="D5D616FC">
      <w:start w:val="1"/>
      <w:numFmt w:val="lowerRoman"/>
      <w:lvlText w:val="%6."/>
      <w:lvlJc w:val="right"/>
      <w:pPr>
        <w:ind w:left="4309" w:hanging="180"/>
      </w:pPr>
    </w:lvl>
    <w:lvl w:ilvl="6" w:tplc="13CE2410">
      <w:start w:val="1"/>
      <w:numFmt w:val="decimal"/>
      <w:lvlText w:val="%7."/>
      <w:lvlJc w:val="left"/>
      <w:pPr>
        <w:ind w:left="5029" w:hanging="360"/>
      </w:pPr>
    </w:lvl>
    <w:lvl w:ilvl="7" w:tplc="E7600C64">
      <w:start w:val="1"/>
      <w:numFmt w:val="lowerLetter"/>
      <w:lvlText w:val="%8."/>
      <w:lvlJc w:val="left"/>
      <w:pPr>
        <w:ind w:left="5749" w:hanging="360"/>
      </w:pPr>
    </w:lvl>
    <w:lvl w:ilvl="8" w:tplc="D790446C">
      <w:start w:val="1"/>
      <w:numFmt w:val="lowerRoman"/>
      <w:lvlText w:val="%9."/>
      <w:lvlJc w:val="right"/>
      <w:pPr>
        <w:ind w:left="6469" w:hanging="180"/>
      </w:pPr>
    </w:lvl>
  </w:abstractNum>
  <w:abstractNum w:abstractNumId="7" w15:restartNumberingAfterBreak="0">
    <w:nsid w:val="66BD2362"/>
    <w:multiLevelType w:val="hybridMultilevel"/>
    <w:tmpl w:val="3E6AFAA2"/>
    <w:lvl w:ilvl="0" w:tplc="E1A2BB8C">
      <w:start w:val="1"/>
      <w:numFmt w:val="decimal"/>
      <w:lvlText w:val="%1)"/>
      <w:lvlJc w:val="left"/>
      <w:pPr>
        <w:ind w:left="709" w:hanging="360"/>
      </w:pPr>
    </w:lvl>
    <w:lvl w:ilvl="1" w:tplc="7716241C">
      <w:start w:val="1"/>
      <w:numFmt w:val="lowerLetter"/>
      <w:lvlText w:val="%2."/>
      <w:lvlJc w:val="left"/>
      <w:pPr>
        <w:ind w:left="1429" w:hanging="360"/>
      </w:pPr>
    </w:lvl>
    <w:lvl w:ilvl="2" w:tplc="C8A634F8">
      <w:start w:val="1"/>
      <w:numFmt w:val="lowerRoman"/>
      <w:lvlText w:val="%3."/>
      <w:lvlJc w:val="right"/>
      <w:pPr>
        <w:ind w:left="2149" w:hanging="180"/>
      </w:pPr>
    </w:lvl>
    <w:lvl w:ilvl="3" w:tplc="603C45EE">
      <w:start w:val="1"/>
      <w:numFmt w:val="decimal"/>
      <w:lvlText w:val="%4."/>
      <w:lvlJc w:val="left"/>
      <w:pPr>
        <w:ind w:left="2869" w:hanging="360"/>
      </w:pPr>
    </w:lvl>
    <w:lvl w:ilvl="4" w:tplc="0F7EC784">
      <w:start w:val="1"/>
      <w:numFmt w:val="lowerLetter"/>
      <w:lvlText w:val="%5."/>
      <w:lvlJc w:val="left"/>
      <w:pPr>
        <w:ind w:left="3589" w:hanging="360"/>
      </w:pPr>
    </w:lvl>
    <w:lvl w:ilvl="5" w:tplc="A5ECE2A8">
      <w:start w:val="1"/>
      <w:numFmt w:val="lowerRoman"/>
      <w:lvlText w:val="%6."/>
      <w:lvlJc w:val="right"/>
      <w:pPr>
        <w:ind w:left="4309" w:hanging="180"/>
      </w:pPr>
    </w:lvl>
    <w:lvl w:ilvl="6" w:tplc="F790D294">
      <w:start w:val="1"/>
      <w:numFmt w:val="decimal"/>
      <w:lvlText w:val="%7."/>
      <w:lvlJc w:val="left"/>
      <w:pPr>
        <w:ind w:left="5029" w:hanging="360"/>
      </w:pPr>
    </w:lvl>
    <w:lvl w:ilvl="7" w:tplc="2522E7AE">
      <w:start w:val="1"/>
      <w:numFmt w:val="lowerLetter"/>
      <w:lvlText w:val="%8."/>
      <w:lvlJc w:val="left"/>
      <w:pPr>
        <w:ind w:left="5749" w:hanging="360"/>
      </w:pPr>
    </w:lvl>
    <w:lvl w:ilvl="8" w:tplc="A0BCEDB6">
      <w:start w:val="1"/>
      <w:numFmt w:val="lowerRoman"/>
      <w:lvlText w:val="%9."/>
      <w:lvlJc w:val="right"/>
      <w:pPr>
        <w:ind w:left="6469" w:hanging="180"/>
      </w:pPr>
    </w:lvl>
  </w:abstractNum>
  <w:abstractNum w:abstractNumId="8" w15:restartNumberingAfterBreak="0">
    <w:nsid w:val="6951205B"/>
    <w:multiLevelType w:val="hybridMultilevel"/>
    <w:tmpl w:val="085AAEFC"/>
    <w:lvl w:ilvl="0" w:tplc="793EAE0A">
      <w:start w:val="1"/>
      <w:numFmt w:val="decimal"/>
      <w:lvlText w:val="%1)"/>
      <w:lvlJc w:val="left"/>
      <w:pPr>
        <w:ind w:left="709" w:hanging="360"/>
      </w:pPr>
    </w:lvl>
    <w:lvl w:ilvl="1" w:tplc="2C668E06">
      <w:start w:val="1"/>
      <w:numFmt w:val="lowerLetter"/>
      <w:lvlText w:val="%2."/>
      <w:lvlJc w:val="left"/>
      <w:pPr>
        <w:ind w:left="1429" w:hanging="360"/>
      </w:pPr>
    </w:lvl>
    <w:lvl w:ilvl="2" w:tplc="12301246">
      <w:start w:val="1"/>
      <w:numFmt w:val="lowerRoman"/>
      <w:lvlText w:val="%3."/>
      <w:lvlJc w:val="right"/>
      <w:pPr>
        <w:ind w:left="2149" w:hanging="180"/>
      </w:pPr>
    </w:lvl>
    <w:lvl w:ilvl="3" w:tplc="5EBE1DA6">
      <w:start w:val="1"/>
      <w:numFmt w:val="decimal"/>
      <w:lvlText w:val="%4."/>
      <w:lvlJc w:val="left"/>
      <w:pPr>
        <w:ind w:left="2869" w:hanging="360"/>
      </w:pPr>
    </w:lvl>
    <w:lvl w:ilvl="4" w:tplc="BE1CCEBE">
      <w:start w:val="1"/>
      <w:numFmt w:val="lowerLetter"/>
      <w:lvlText w:val="%5."/>
      <w:lvlJc w:val="left"/>
      <w:pPr>
        <w:ind w:left="3589" w:hanging="360"/>
      </w:pPr>
    </w:lvl>
    <w:lvl w:ilvl="5" w:tplc="042C7512">
      <w:start w:val="1"/>
      <w:numFmt w:val="lowerRoman"/>
      <w:lvlText w:val="%6."/>
      <w:lvlJc w:val="right"/>
      <w:pPr>
        <w:ind w:left="4309" w:hanging="180"/>
      </w:pPr>
    </w:lvl>
    <w:lvl w:ilvl="6" w:tplc="D94262A6">
      <w:start w:val="1"/>
      <w:numFmt w:val="decimal"/>
      <w:lvlText w:val="%7."/>
      <w:lvlJc w:val="left"/>
      <w:pPr>
        <w:ind w:left="5029" w:hanging="360"/>
      </w:pPr>
    </w:lvl>
    <w:lvl w:ilvl="7" w:tplc="E4C86F0A">
      <w:start w:val="1"/>
      <w:numFmt w:val="lowerLetter"/>
      <w:lvlText w:val="%8."/>
      <w:lvlJc w:val="left"/>
      <w:pPr>
        <w:ind w:left="5749" w:hanging="360"/>
      </w:pPr>
    </w:lvl>
    <w:lvl w:ilvl="8" w:tplc="371A3540">
      <w:start w:val="1"/>
      <w:numFmt w:val="lowerRoman"/>
      <w:lvlText w:val="%9."/>
      <w:lvlJc w:val="right"/>
      <w:pPr>
        <w:ind w:left="6469" w:hanging="180"/>
      </w:pPr>
    </w:lvl>
  </w:abstractNum>
  <w:abstractNum w:abstractNumId="9" w15:restartNumberingAfterBreak="0">
    <w:nsid w:val="6A7D18D5"/>
    <w:multiLevelType w:val="hybridMultilevel"/>
    <w:tmpl w:val="B3BA65AE"/>
    <w:lvl w:ilvl="0" w:tplc="54DC0A38">
      <w:start w:val="1"/>
      <w:numFmt w:val="decimal"/>
      <w:lvlText w:val="%1)"/>
      <w:lvlJc w:val="left"/>
      <w:pPr>
        <w:ind w:left="709" w:hanging="360"/>
      </w:pPr>
    </w:lvl>
    <w:lvl w:ilvl="1" w:tplc="86B671A4">
      <w:start w:val="1"/>
      <w:numFmt w:val="lowerLetter"/>
      <w:lvlText w:val="%2."/>
      <w:lvlJc w:val="left"/>
      <w:pPr>
        <w:ind w:left="1429" w:hanging="360"/>
      </w:pPr>
    </w:lvl>
    <w:lvl w:ilvl="2" w:tplc="28BE47D2">
      <w:start w:val="1"/>
      <w:numFmt w:val="lowerRoman"/>
      <w:lvlText w:val="%3."/>
      <w:lvlJc w:val="right"/>
      <w:pPr>
        <w:ind w:left="2149" w:hanging="180"/>
      </w:pPr>
    </w:lvl>
    <w:lvl w:ilvl="3" w:tplc="A050C8F0">
      <w:start w:val="1"/>
      <w:numFmt w:val="decimal"/>
      <w:lvlText w:val="%4."/>
      <w:lvlJc w:val="left"/>
      <w:pPr>
        <w:ind w:left="2869" w:hanging="360"/>
      </w:pPr>
    </w:lvl>
    <w:lvl w:ilvl="4" w:tplc="1C9E3FBE">
      <w:start w:val="1"/>
      <w:numFmt w:val="lowerLetter"/>
      <w:lvlText w:val="%5."/>
      <w:lvlJc w:val="left"/>
      <w:pPr>
        <w:ind w:left="3589" w:hanging="360"/>
      </w:pPr>
    </w:lvl>
    <w:lvl w:ilvl="5" w:tplc="D0ACD44A">
      <w:start w:val="1"/>
      <w:numFmt w:val="lowerRoman"/>
      <w:lvlText w:val="%6."/>
      <w:lvlJc w:val="right"/>
      <w:pPr>
        <w:ind w:left="4309" w:hanging="180"/>
      </w:pPr>
    </w:lvl>
    <w:lvl w:ilvl="6" w:tplc="A204FE50">
      <w:start w:val="1"/>
      <w:numFmt w:val="decimal"/>
      <w:lvlText w:val="%7."/>
      <w:lvlJc w:val="left"/>
      <w:pPr>
        <w:ind w:left="5029" w:hanging="360"/>
      </w:pPr>
    </w:lvl>
    <w:lvl w:ilvl="7" w:tplc="03D8CBC8">
      <w:start w:val="1"/>
      <w:numFmt w:val="lowerLetter"/>
      <w:lvlText w:val="%8."/>
      <w:lvlJc w:val="left"/>
      <w:pPr>
        <w:ind w:left="5749" w:hanging="360"/>
      </w:pPr>
    </w:lvl>
    <w:lvl w:ilvl="8" w:tplc="6A10472C">
      <w:start w:val="1"/>
      <w:numFmt w:val="lowerRoman"/>
      <w:lvlText w:val="%9."/>
      <w:lvlJc w:val="right"/>
      <w:pPr>
        <w:ind w:left="6469" w:hanging="180"/>
      </w:pPr>
    </w:lvl>
  </w:abstractNum>
  <w:abstractNum w:abstractNumId="10" w15:restartNumberingAfterBreak="0">
    <w:nsid w:val="76474825"/>
    <w:multiLevelType w:val="hybridMultilevel"/>
    <w:tmpl w:val="CD5E1158"/>
    <w:lvl w:ilvl="0" w:tplc="D15C6A80">
      <w:start w:val="1"/>
      <w:numFmt w:val="decimal"/>
      <w:lvlText w:val="%1)"/>
      <w:lvlJc w:val="left"/>
      <w:pPr>
        <w:ind w:left="709" w:hanging="360"/>
      </w:pPr>
    </w:lvl>
    <w:lvl w:ilvl="1" w:tplc="403A3DF8">
      <w:start w:val="1"/>
      <w:numFmt w:val="lowerLetter"/>
      <w:lvlText w:val="%2."/>
      <w:lvlJc w:val="left"/>
      <w:pPr>
        <w:ind w:left="1429" w:hanging="360"/>
      </w:pPr>
    </w:lvl>
    <w:lvl w:ilvl="2" w:tplc="D480E288">
      <w:start w:val="1"/>
      <w:numFmt w:val="lowerRoman"/>
      <w:lvlText w:val="%3."/>
      <w:lvlJc w:val="right"/>
      <w:pPr>
        <w:ind w:left="2149" w:hanging="180"/>
      </w:pPr>
    </w:lvl>
    <w:lvl w:ilvl="3" w:tplc="117C2F60">
      <w:start w:val="1"/>
      <w:numFmt w:val="decimal"/>
      <w:lvlText w:val="%4."/>
      <w:lvlJc w:val="left"/>
      <w:pPr>
        <w:ind w:left="2869" w:hanging="360"/>
      </w:pPr>
    </w:lvl>
    <w:lvl w:ilvl="4" w:tplc="D3BC6232">
      <w:start w:val="1"/>
      <w:numFmt w:val="lowerLetter"/>
      <w:lvlText w:val="%5."/>
      <w:lvlJc w:val="left"/>
      <w:pPr>
        <w:ind w:left="3589" w:hanging="360"/>
      </w:pPr>
    </w:lvl>
    <w:lvl w:ilvl="5" w:tplc="A67EC31A">
      <w:start w:val="1"/>
      <w:numFmt w:val="lowerRoman"/>
      <w:lvlText w:val="%6."/>
      <w:lvlJc w:val="right"/>
      <w:pPr>
        <w:ind w:left="4309" w:hanging="180"/>
      </w:pPr>
    </w:lvl>
    <w:lvl w:ilvl="6" w:tplc="76EA8B5E">
      <w:start w:val="1"/>
      <w:numFmt w:val="decimal"/>
      <w:lvlText w:val="%7."/>
      <w:lvlJc w:val="left"/>
      <w:pPr>
        <w:ind w:left="5029" w:hanging="360"/>
      </w:pPr>
    </w:lvl>
    <w:lvl w:ilvl="7" w:tplc="369086CC">
      <w:start w:val="1"/>
      <w:numFmt w:val="lowerLetter"/>
      <w:lvlText w:val="%8."/>
      <w:lvlJc w:val="left"/>
      <w:pPr>
        <w:ind w:left="5749" w:hanging="360"/>
      </w:pPr>
    </w:lvl>
    <w:lvl w:ilvl="8" w:tplc="C56E8AC8">
      <w:start w:val="1"/>
      <w:numFmt w:val="lowerRoman"/>
      <w:lvlText w:val="%9."/>
      <w:lvlJc w:val="right"/>
      <w:pPr>
        <w:ind w:left="6469" w:hanging="180"/>
      </w:pPr>
    </w:lvl>
  </w:abstractNum>
  <w:num w:numId="1">
    <w:abstractNumId w:val="9"/>
  </w:num>
  <w:num w:numId="2">
    <w:abstractNumId w:val="10"/>
  </w:num>
  <w:num w:numId="3">
    <w:abstractNumId w:val="6"/>
  </w:num>
  <w:num w:numId="4">
    <w:abstractNumId w:val="0"/>
  </w:num>
  <w:num w:numId="5">
    <w:abstractNumId w:val="1"/>
  </w:num>
  <w:num w:numId="6">
    <w:abstractNumId w:val="8"/>
  </w:num>
  <w:num w:numId="7">
    <w:abstractNumId w:val="2"/>
  </w:num>
  <w:num w:numId="8">
    <w:abstractNumId w:val="5"/>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5"/>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D54"/>
    <w:rsid w:val="00310893"/>
    <w:rsid w:val="003A4608"/>
    <w:rsid w:val="00400331"/>
    <w:rsid w:val="004D7AF8"/>
    <w:rsid w:val="00555225"/>
    <w:rsid w:val="00884587"/>
    <w:rsid w:val="00AE08B0"/>
    <w:rsid w:val="00B862CA"/>
    <w:rsid w:val="00C077B4"/>
    <w:rsid w:val="00DB7D54"/>
    <w:rsid w:val="00EB706B"/>
    <w:rsid w:val="00F73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2AA6B"/>
  <w15:docId w15:val="{3522E497-9AFD-F746-9FD2-D351C190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sz w:val="40"/>
      <w:szCs w:val="40"/>
    </w:rPr>
  </w:style>
  <w:style w:type="paragraph" w:styleId="Heading2">
    <w:name w:val="heading 2"/>
    <w:basedOn w:val="Normal"/>
    <w:next w:val="Normal"/>
    <w:link w:val="Heading2Char"/>
    <w:uiPriority w:val="9"/>
    <w:unhideWhenUsed/>
    <w:qFormat/>
    <w:pPr>
      <w:keepNext/>
      <w:keepLines/>
      <w:spacing w:before="360"/>
      <w:outlineLvl w:val="1"/>
    </w:pPr>
    <w:rPr>
      <w:sz w:val="34"/>
    </w:rPr>
  </w:style>
  <w:style w:type="paragraph" w:styleId="Heading3">
    <w:name w:val="heading 3"/>
    <w:basedOn w:val="Normal"/>
    <w:next w:val="Normal"/>
    <w:link w:val="Heading3Char"/>
    <w:uiPriority w:val="9"/>
    <w:unhideWhenUsed/>
    <w:qFormat/>
    <w:pPr>
      <w:keepNext/>
      <w:keepLines/>
      <w:spacing w:before="320"/>
      <w:outlineLvl w:val="2"/>
    </w:pPr>
    <w:rPr>
      <w:sz w:val="30"/>
      <w:szCs w:val="30"/>
    </w:rPr>
  </w:style>
  <w:style w:type="paragraph" w:styleId="Heading4">
    <w:name w:val="heading 4"/>
    <w:basedOn w:val="Normal"/>
    <w:next w:val="Normal"/>
    <w:link w:val="Heading4Char"/>
    <w:uiPriority w:val="9"/>
    <w:unhideWhenUsed/>
    <w:qFormat/>
    <w:pPr>
      <w:keepNext/>
      <w:keepLines/>
      <w:spacing w:before="320"/>
      <w:outlineLvl w:val="3"/>
    </w:pPr>
    <w:rPr>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b/>
      <w:bCs/>
    </w:rPr>
  </w:style>
  <w:style w:type="paragraph" w:styleId="Heading7">
    <w:name w:val="heading 7"/>
    <w:basedOn w:val="Normal"/>
    <w:next w:val="Normal"/>
    <w:link w:val="Heading7Char"/>
    <w:uiPriority w:val="9"/>
    <w:unhideWhenUsed/>
    <w:qFormat/>
    <w:pPr>
      <w:keepNext/>
      <w:keepLines/>
      <w:spacing w:before="320"/>
      <w:outlineLvl w:val="6"/>
    </w:pPr>
    <w:rPr>
      <w:b/>
      <w:bCs/>
      <w:i/>
      <w:iCs/>
    </w:rPr>
  </w:style>
  <w:style w:type="paragraph" w:styleId="Heading8">
    <w:name w:val="heading 8"/>
    <w:basedOn w:val="Normal"/>
    <w:next w:val="Normal"/>
    <w:link w:val="Heading8Char"/>
    <w:uiPriority w:val="9"/>
    <w:unhideWhenUsed/>
    <w:qFormat/>
    <w:pPr>
      <w:keepNext/>
      <w:keepLines/>
      <w:spacing w:before="320"/>
      <w:outlineLvl w:val="7"/>
    </w:pPr>
    <w:rPr>
      <w:i/>
      <w:iCs/>
    </w:rPr>
  </w:style>
  <w:style w:type="paragraph" w:styleId="Heading9">
    <w:name w:val="heading 9"/>
    <w:basedOn w:val="Normal"/>
    <w:next w:val="Normal"/>
    <w:link w:val="Heading9Char"/>
    <w:uiPriority w:val="9"/>
    <w:unhideWhenUsed/>
    <w:qFormat/>
    <w:pPr>
      <w:keepNext/>
      <w:keepLines/>
      <w:spacing w:before="320"/>
      <w:outlineLvl w:val="8"/>
    </w:pPr>
    <w:rPr>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ridTable7Colou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AU"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AU" w:eastAsia="en-GB"/>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AU"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AU"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AU"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AU" w:eastAsia="en-GB"/>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AU"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AU"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AU" w:eastAsia="en-GB"/>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AU"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AU"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AU"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AU" w:eastAsia="en-GB"/>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AU"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C07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537606">
      <w:bodyDiv w:val="1"/>
      <w:marLeft w:val="0"/>
      <w:marRight w:val="0"/>
      <w:marTop w:val="0"/>
      <w:marBottom w:val="0"/>
      <w:divBdr>
        <w:top w:val="none" w:sz="0" w:space="0" w:color="auto"/>
        <w:left w:val="none" w:sz="0" w:space="0" w:color="auto"/>
        <w:bottom w:val="none" w:sz="0" w:space="0" w:color="auto"/>
        <w:right w:val="none" w:sz="0" w:space="0" w:color="auto"/>
      </w:divBdr>
    </w:div>
    <w:div w:id="136651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0022-2836(05)80360-2" TargetMode="External"/><Relationship Id="rId13" Type="http://schemas.openxmlformats.org/officeDocument/2006/relationships/hyperlink" Target="https://doi.org/10.1038/s41587-020-0548-6" TargetMode="External"/><Relationship Id="rId18" Type="http://schemas.openxmlformats.org/officeDocument/2006/relationships/hyperlink" Target="https://doi.org/10.1016/j.funeco.2015.06.00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15156/BIO/1280089" TargetMode="External"/><Relationship Id="rId12" Type="http://schemas.openxmlformats.org/officeDocument/2006/relationships/hyperlink" Target="https://doi.org/10.1128/AEM.03006-05" TargetMode="External"/><Relationship Id="rId17" Type="http://schemas.openxmlformats.org/officeDocument/2006/relationships/hyperlink" Target="http://www.ncbi.nlm.nih.gov/pubmed/22174280" TargetMode="External"/><Relationship Id="rId2" Type="http://schemas.openxmlformats.org/officeDocument/2006/relationships/styles" Target="styles.xml"/><Relationship Id="rId16" Type="http://schemas.openxmlformats.org/officeDocument/2006/relationships/hyperlink" Target="https://doi.org/10.1111/j.1574-6941.2012.01437.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73/pnas.1000080107" TargetMode="External"/><Relationship Id="rId5" Type="http://schemas.openxmlformats.org/officeDocument/2006/relationships/footnotes" Target="footnotes.xml"/><Relationship Id="rId15" Type="http://schemas.openxmlformats.org/officeDocument/2006/relationships/hyperlink" Target="https://doi.org/10.1093/femsec/fix006" TargetMode="External"/><Relationship Id="rId10" Type="http://schemas.openxmlformats.org/officeDocument/2006/relationships/hyperlink" Target="https://doi.org/10.1186/s13742-016-0126-5" TargetMode="External"/><Relationship Id="rId19" Type="http://schemas.openxmlformats.org/officeDocument/2006/relationships/hyperlink" Target="https://doi.org/10.1371/journal.pcbi.1000465" TargetMode="External"/><Relationship Id="rId4" Type="http://schemas.openxmlformats.org/officeDocument/2006/relationships/webSettings" Target="webSettings.xml"/><Relationship Id="rId9" Type="http://schemas.openxmlformats.org/officeDocument/2006/relationships/hyperlink" Target="https://doi.org/10.1111/2041-210X.12073" TargetMode="External"/><Relationship Id="rId14" Type="http://schemas.openxmlformats.org/officeDocument/2006/relationships/hyperlink" Target="https://doi.org/10.1093/bioinformatics/btx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943</TotalTime>
  <Pages>3</Pages>
  <Words>1493</Words>
  <Characters>8512</Characters>
  <Application>Microsoft Office Word</Application>
  <DocSecurity>0</DocSecurity>
  <Lines>70</Lines>
  <Paragraphs>19</Paragraphs>
  <ScaleCrop>false</ScaleCrop>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Powell</dc:creator>
  <cp:lastModifiedBy>Jeff Powell</cp:lastModifiedBy>
  <cp:revision>10</cp:revision>
  <dcterms:created xsi:type="dcterms:W3CDTF">2021-07-12T09:01:00Z</dcterms:created>
  <dcterms:modified xsi:type="dcterms:W3CDTF">2021-07-14T04:02:00Z</dcterms:modified>
</cp:coreProperties>
</file>