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342019" w14:textId="77777777" w:rsidR="00F66F7E" w:rsidRDefault="003142D9">
      <w:pPr>
        <w:rPr>
          <w:lang w:val="en-GB"/>
        </w:rPr>
      </w:pPr>
      <w:r>
        <w:rPr>
          <w:noProof/>
        </w:rPr>
        <mc:AlternateContent>
          <mc:Choice Requires="wps">
            <w:drawing>
              <wp:anchor distT="0" distB="0" distL="114935" distR="114935" simplePos="0" relativeHeight="251658752" behindDoc="0" locked="0" layoutInCell="1" allowOverlap="1" wp14:anchorId="1523C1B4" wp14:editId="3645DCCE">
                <wp:simplePos x="0" y="0"/>
                <wp:positionH relativeFrom="margin">
                  <wp:align>center</wp:align>
                </wp:positionH>
                <wp:positionV relativeFrom="page">
                  <wp:posOffset>914400</wp:posOffset>
                </wp:positionV>
                <wp:extent cx="6281420" cy="1168400"/>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1684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margin-left:0;margin-top:1in;width:494.6pt;height:92pt;z-index:251658752;visibility:visible;mso-wrap-style:square;mso-width-percent:0;mso-height-percent:0;mso-wrap-distance-left:9.05pt;mso-wrap-distance-top:0;mso-wrap-distance-right:9.05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" stroked="f">
                <v:fill opacity="0"/>
                <v:path arrowok="t"/>
                <v:textbox inset="0,0,0,0">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v:textbox>
                <w10:wrap type="topAndBottom" anchorx="margin" anchory="page"/>
              </v:shape>
            </w:pict>
          </mc:Fallback>
        </mc:AlternateContent>
      </w:r>
    </w:p>
    <w:p w14:paraId="05C0443D" w14:textId="77777777" w:rsidR="00F66F7E" w:rsidRDefault="00F66F7E">
      <w:pPr>
        <w:jc w:val="center"/>
      </w:pPr>
      <w:r>
        <w:rPr>
          <w:b/>
          <w:sz w:val="24"/>
        </w:rPr>
        <w:t>Abstract</w:t>
      </w:r>
    </w:p>
    <w:p w14:paraId="3C0693E1" w14:textId="77777777" w:rsidR="00F66F7E" w:rsidRDefault="00F66F7E">
      <w:pPr>
        <w:pStyle w:val="Abstract"/>
        <w:ind w:firstLine="0"/>
      </w:pPr>
    </w:p>
    <w:p w14:paraId="0BEE06D5" w14:textId="796051AC" w:rsidR="00F66F7E" w:rsidRDefault="005D61CD" w:rsidP="005D61CD">
      <w:pPr>
        <w:ind w:firstLine="202"/>
        <w:jc w:val="both"/>
        <w:rPr>
          <w:i/>
        </w:rPr>
      </w:pPr>
      <w:r w:rsidRPr="005D61CD">
        <w:rPr>
          <w:i/>
        </w:rPr>
        <w:t>The ABSTRACT is to be in fully</w:t>
      </w:r>
      <w:r w:rsidR="00437C99">
        <w:rPr>
          <w:i/>
        </w:rPr>
        <w:t xml:space="preserve"> </w:t>
      </w:r>
      <w:r w:rsidRPr="005D61CD">
        <w:rPr>
          <w:i/>
        </w:rPr>
        <w:t xml:space="preserve">justified italicized text, at the top of the left-hand column, below the author and affiliation information. Use the word </w:t>
      </w:r>
      <w:r>
        <w:rPr>
          <w:i/>
        </w:rPr>
        <w:t>“</w:t>
      </w:r>
      <w:r w:rsidRPr="005D61CD">
        <w:rPr>
          <w:i/>
        </w:rPr>
        <w:t>Abstract</w:t>
      </w:r>
      <w:r>
        <w:rPr>
          <w:i/>
        </w:rPr>
        <w:t>”</w:t>
      </w:r>
      <w:r w:rsidRPr="005D61CD">
        <w:rPr>
          <w:i/>
        </w:rPr>
        <w:t xml:space="preserve"> as the title, in 12-point Times, boldface type, centered relative to the column, initially capitalized. The abstract is to be in 10-point, single-spaced type. Leave two blank lines after the Abstract, then begin the main text. Look at previous CVPR abstracts to get a feel for style and length.</w:t>
      </w:r>
    </w:p>
    <w:p w14:paraId="22497A35" w14:textId="77777777" w:rsidR="005D61CD" w:rsidRDefault="005D61CD" w:rsidP="005D61CD">
      <w:pPr>
        <w:ind w:firstLine="202"/>
        <w:jc w:val="both"/>
      </w:pPr>
    </w:p>
    <w:p w14:paraId="4588C417" w14:textId="77777777" w:rsidR="00F66F7E" w:rsidRPr="005D61CD" w:rsidRDefault="00F66F7E">
      <w:pPr>
        <w:pStyle w:val="1"/>
        <w:rPr>
          <w:b/>
          <w:bCs/>
          <w:sz w:val="24"/>
          <w:szCs w:val="24"/>
        </w:rPr>
      </w:pPr>
      <w:r w:rsidRPr="005D61CD">
        <w:rPr>
          <w:b/>
          <w:bCs/>
          <w:sz w:val="24"/>
          <w:szCs w:val="24"/>
        </w:rPr>
        <w:t>Introduction</w:t>
      </w:r>
    </w:p>
    <w:p w14:paraId="09BD3A0E" w14:textId="443527A1" w:rsidR="00410DC5" w:rsidRPr="009E3150" w:rsidRDefault="00F66F7E" w:rsidP="00410DC5">
      <w:pPr>
        <w:pStyle w:val="Text"/>
      </w:pPr>
      <w:r>
        <w:t xml:space="preserve"> </w:t>
      </w:r>
      <w:r w:rsidR="00410DC5">
        <w:t>Malaria remains a critical global health challenge, particularly in low-resource regions. According to the World Health Organization [1], early and accurate diagnosis is essential for effective treatment. The gold standard for diagnosis is the visual examination of thin blood smears under a microscope. Clinicians must identify infected Red Blood Cells (RBCs) and calculate the parasitemia rate</w:t>
      </w:r>
      <w:r w:rsidR="00410DC5" w:rsidRPr="00410DC5">
        <w:t xml:space="preserve"> (</w:t>
      </w:r>
      <w:r w:rsidR="00410DC5">
        <w:t>the percentage of infected cells relative to the total number of cells</w:t>
      </w:r>
      <w:r w:rsidR="00410DC5" w:rsidRPr="00410DC5">
        <w:t>)</w:t>
      </w:r>
      <w:r w:rsidR="00410DC5">
        <w:t>. This manual process is time-consuming, tedious, and prone to human error, especially when analyzing thousands of cells per patient.</w:t>
      </w:r>
    </w:p>
    <w:p w14:paraId="40919393" w14:textId="79E9D1B7" w:rsidR="00E57E13" w:rsidRDefault="00E57E13" w:rsidP="00BB5C9C">
      <w:pPr>
        <w:pStyle w:val="Text"/>
      </w:pPr>
      <w:r w:rsidRPr="00E57E13">
        <w:t>To automate this task, researchers have recently applied Deep Learning. For instance, Kassim et al. [2] proposed a state-of-the-art architecture combining U-Net and Faster R-CNN. While highly accurate, such models require significant computational powe</w:t>
      </w:r>
      <w:r>
        <w:t>r</w:t>
      </w:r>
      <w:r w:rsidRPr="00E57E13">
        <w:t>, which is often unavailable in remote or low-resource medical facilities.</w:t>
      </w:r>
    </w:p>
    <w:p w14:paraId="14B09461" w14:textId="0490C2E6" w:rsidR="00410DC5" w:rsidRDefault="00410DC5" w:rsidP="00BB5C9C">
      <w:pPr>
        <w:pStyle w:val="Text"/>
      </w:pPr>
      <w:r>
        <w:t>Prior to the Deep Learning era, classical computer vision methods offered computationally efficient solutions. Tek et al. [3] demonstrated that the Green channel of RGB images provides the optimal contrast for separating RBCs from the background. To handle the problem of overlapping cells, Das et al. [4] successfully applied the Watershed algorithm, while Di Ruberto et al. [5] utilized morphological operations and granulometry. Although these methods are sometimes less robust to noise than neural networks, they consume significantly less memory and processing power.</w:t>
      </w:r>
    </w:p>
    <w:p w14:paraId="43EB541D" w14:textId="18BEE0A4" w:rsidR="00F66F7E" w:rsidRPr="00410DC5" w:rsidRDefault="00410DC5" w:rsidP="00410DC5">
      <w:pPr>
        <w:pStyle w:val="Text"/>
      </w:pPr>
      <w:r>
        <w:t>In this work, we propose a frugal automated pipeline for parasitemia estimation. We revisit classical segmentation techniques</w:t>
      </w:r>
      <w:r w:rsidR="00BB5C9C">
        <w:t xml:space="preserve"> </w:t>
      </w:r>
      <w:r>
        <w:t>and evaluate them against the ground truth from the Kassim et al. dataset [2]. Our goal is to demonstrate that optimized classical methods can achieve a necessary balance between accuracy and efficiency, making them suitable for deployment on mobile devices and low-power laptops in developing countries.</w:t>
      </w:r>
    </w:p>
    <w:p w14:paraId="3606B1E1" w14:textId="3DC5AC80" w:rsidR="00F66F7E" w:rsidRPr="005D61CD" w:rsidRDefault="00BF645E">
      <w:pPr>
        <w:pStyle w:val="1"/>
        <w:rPr>
          <w:b/>
          <w:bCs/>
          <w:sz w:val="24"/>
          <w:szCs w:val="24"/>
        </w:rPr>
      </w:pPr>
      <w:r>
        <w:rPr>
          <w:b/>
          <w:bCs/>
          <w:sz w:val="24"/>
          <w:szCs w:val="24"/>
        </w:rPr>
        <w:t>Dataset and Preprocessing</w:t>
      </w:r>
    </w:p>
    <w:p w14:paraId="4EDDCCCF" w14:textId="16D13149" w:rsidR="00F66F7E" w:rsidRPr="001F29CC" w:rsidRDefault="001F29CC">
      <w:pPr>
        <w:pStyle w:val="2"/>
        <w:rPr>
          <w:b/>
          <w:bCs/>
          <w:sz w:val="24"/>
          <w:szCs w:val="24"/>
        </w:rPr>
      </w:pPr>
      <w:r w:rsidRPr="001F29CC">
        <w:rPr>
          <w:b/>
          <w:bCs/>
          <w:sz w:val="24"/>
          <w:szCs w:val="24"/>
        </w:rPr>
        <w:t>Dataset Specification</w:t>
      </w:r>
    </w:p>
    <w:p w14:paraId="426376EF" w14:textId="6946C6C8" w:rsidR="002C1FC7" w:rsidRDefault="001F29CC" w:rsidP="00A008F0">
      <w:pPr>
        <w:pStyle w:val="Text"/>
      </w:pPr>
      <w:r w:rsidRPr="001F29CC">
        <w:t>This study utilizes the publicly available NIH-NLM-</w:t>
      </w:r>
      <w:proofErr w:type="spellStart"/>
      <w:r w:rsidRPr="001F29CC">
        <w:t>ThinBloodSmearsPf</w:t>
      </w:r>
      <w:proofErr w:type="spellEnd"/>
      <w:r w:rsidRPr="001F29CC">
        <w:t xml:space="preserve"> dataset described by Kassim et al. [2]. The data was collected at the Medical College Hospital in Bangladesh. It consists of Giemsa-stained thin blood smear images obtained from 193 patients, including both infected individuals and healthy controls. A smartphone camera attached to a light microscope eyepiece captured the images. The image resolution is 5312 x 2988 pixels. </w:t>
      </w:r>
    </w:p>
    <w:p w14:paraId="7C8A60E7" w14:textId="459A274D" w:rsidR="006324DA" w:rsidRDefault="006324DA" w:rsidP="006324DA">
      <w:pPr>
        <w:pStyle w:val="2"/>
        <w:rPr>
          <w:b/>
          <w:bCs/>
          <w:sz w:val="24"/>
          <w:szCs w:val="24"/>
        </w:rPr>
      </w:pPr>
      <w:r w:rsidRPr="006324DA">
        <w:rPr>
          <w:b/>
          <w:bCs/>
          <w:sz w:val="24"/>
          <w:szCs w:val="24"/>
        </w:rPr>
        <w:t>Ground Truth Annotations</w:t>
      </w:r>
    </w:p>
    <w:p w14:paraId="691EB8A5" w14:textId="0337D087" w:rsidR="006324DA" w:rsidRDefault="006324DA" w:rsidP="006324DA">
      <w:pPr>
        <w:ind w:firstLine="204"/>
        <w:jc w:val="both"/>
      </w:pPr>
      <w:r w:rsidRPr="006324DA">
        <w:t>The dataset is divided into two subsets. The "Point Set" includes images from 160 patients with cells marked by single coordinates. The "Polygon Set" covers 33 patients where cells are outlined with polygonal boundaries. Both subsets contain labels for</w:t>
      </w:r>
      <w:r>
        <w:t xml:space="preserve"> Uninfected and Parasitized RBC</w:t>
      </w:r>
      <w:r w:rsidRPr="006324DA">
        <w:t xml:space="preserve">. In this study, we exclusively utilized the Polygon Set boundary annotations </w:t>
      </w:r>
      <w:r>
        <w:t>for the</w:t>
      </w:r>
      <w:r w:rsidRPr="006324DA">
        <w:t xml:space="preserve"> evaluation of segmentation accuracy</w:t>
      </w:r>
      <w:r>
        <w:t>, and labels for the classification accuracy.</w:t>
      </w:r>
    </w:p>
    <w:p w14:paraId="444C2BCF" w14:textId="371DABD3" w:rsidR="006324DA" w:rsidRDefault="00D43A63" w:rsidP="006324DA">
      <w:pPr>
        <w:pStyle w:val="2"/>
        <w:rPr>
          <w:b/>
          <w:bCs/>
          <w:sz w:val="24"/>
          <w:szCs w:val="24"/>
        </w:rPr>
      </w:pPr>
      <w:r>
        <w:rPr>
          <w:b/>
          <w:bCs/>
          <w:sz w:val="24"/>
          <w:szCs w:val="24"/>
        </w:rPr>
        <w:t xml:space="preserve">Segmentation </w:t>
      </w:r>
      <w:r w:rsidR="006324DA" w:rsidRPr="006324DA">
        <w:rPr>
          <w:b/>
          <w:bCs/>
          <w:sz w:val="24"/>
          <w:szCs w:val="24"/>
        </w:rPr>
        <w:t>Preprocessing Pipeline</w:t>
      </w:r>
    </w:p>
    <w:p w14:paraId="1945D4BE" w14:textId="2350D4C2" w:rsidR="006324DA" w:rsidRPr="00D43A63" w:rsidRDefault="00D43A63" w:rsidP="00CE4C91">
      <w:pPr>
        <w:ind w:firstLine="204"/>
        <w:jc w:val="both"/>
      </w:pPr>
      <w:r>
        <w:t>Raw microscopy images often contain noise and uneven illumination. Therefore, we applied a standardized preprocessing pipeline. First, we extracted the Green channel from the original RGB images. Previous studies [3] demonstrated that the Green channel offers the highest contrast between erythrocytes and the background. Second, we applied Contrast Limited Adaptive Histogram Equalization (CLAHE). This method corrects lighting variations across the circular region of interest and enhances local details without amplifying noise. This prepared image served as the input for our segmentation experiments.</w:t>
      </w:r>
    </w:p>
    <w:p w14:paraId="582D8C09" w14:textId="77777777" w:rsidR="00F66F7E" w:rsidRPr="005D61CD" w:rsidRDefault="00F66F7E">
      <w:pPr>
        <w:pStyle w:val="1"/>
        <w:rPr>
          <w:b/>
          <w:bCs/>
          <w:sz w:val="24"/>
          <w:szCs w:val="24"/>
        </w:rPr>
      </w:pPr>
      <w:r w:rsidRPr="005D61CD">
        <w:rPr>
          <w:b/>
          <w:bCs/>
          <w:sz w:val="24"/>
          <w:szCs w:val="24"/>
        </w:rPr>
        <w:t>Final copy</w:t>
      </w:r>
    </w:p>
    <w:p w14:paraId="666226A2" w14:textId="1A6DD51E" w:rsidR="00F66F7E" w:rsidRPr="002C1FC7" w:rsidRDefault="00F66F7E">
      <w:pPr>
        <w:pStyle w:val="Text"/>
        <w:rPr>
          <w:rFonts w:ascii="Courier" w:hAnsi="Courier"/>
          <w:sz w:val="18"/>
          <w:szCs w:val="18"/>
        </w:rPr>
      </w:pPr>
      <w:r>
        <w:t xml:space="preserve">You must include your signed IEEE copyright release form when you submit your finished paper. We MUST have this form before your paper can be published in the </w:t>
      </w:r>
      <w:r>
        <w:lastRenderedPageBreak/>
        <w:t>proceedings. Please direct any questions to the production editor in charge of these proceedings at the IEEE Computer Society Press:</w:t>
      </w:r>
      <w:r w:rsidR="002C1FC7">
        <w:t xml:space="preserve"> </w:t>
      </w:r>
      <w:hyperlink r:id="rId7" w:history="1">
        <w:r w:rsidR="002C1FC7" w:rsidRPr="002C1FC7">
          <w:rPr>
            <w:rStyle w:val="a3"/>
            <w:rFonts w:ascii="Courier" w:hAnsi="Courier"/>
          </w:rPr>
          <w:t>https://www.computer.org/about/contact</w:t>
        </w:r>
      </w:hyperlink>
    </w:p>
    <w:p w14:paraId="5E710E3C" w14:textId="77777777" w:rsidR="00F66F7E" w:rsidRPr="005D61CD" w:rsidRDefault="00F66F7E">
      <w:pPr>
        <w:pStyle w:val="1"/>
        <w:numPr>
          <w:ilvl w:val="0"/>
          <w:numId w:val="0"/>
        </w:numPr>
        <w:rPr>
          <w:b/>
          <w:bCs/>
          <w:sz w:val="24"/>
          <w:szCs w:val="24"/>
        </w:rPr>
      </w:pPr>
      <w:r w:rsidRPr="005D61CD">
        <w:rPr>
          <w:b/>
          <w:bCs/>
          <w:sz w:val="24"/>
          <w:szCs w:val="24"/>
        </w:rPr>
        <w:t>References</w:t>
      </w:r>
    </w:p>
    <w:p w14:paraId="10B96027" w14:textId="72613C88" w:rsidR="009E3150" w:rsidRDefault="009E3150" w:rsidP="009E3150">
      <w:pPr>
        <w:pStyle w:val="References"/>
      </w:pPr>
      <w:r>
        <w:t>World Health Organization, World malaria report 2022. Geneva: World Health Organization, 2022.</w:t>
      </w:r>
    </w:p>
    <w:p w14:paraId="4D5B1CD9" w14:textId="3684E58F" w:rsidR="009E3150" w:rsidRDefault="009E3150" w:rsidP="009E3150">
      <w:pPr>
        <w:pStyle w:val="References"/>
      </w:pPr>
      <w:r>
        <w:t>Y. M. Kassim et al., "Clustering-Based Dual Deep Learning Architecture for Detecting Red Blood Cells in Malaria Diagnostic Smears," IEEE Journal of Biomedical and Health Informatics, vol. 25, no. 5, pp. 1735–1746, May 2021</w:t>
      </w:r>
    </w:p>
    <w:p w14:paraId="1B91113C" w14:textId="7029986A" w:rsidR="009E3150" w:rsidRPr="009E3150" w:rsidRDefault="009E3150" w:rsidP="009E3150">
      <w:pPr>
        <w:pStyle w:val="References"/>
        <w:rPr>
          <w:lang w:val="ru-RU"/>
        </w:rPr>
      </w:pPr>
      <w:r>
        <w:t>F. B. Tek, A. G. Dempster, and I. Kale, "Computer vision for microscopy diagnosis of malaria: a comprehensive review," Malaria Journal, vol. 8, no. 153, 2009.</w:t>
      </w:r>
    </w:p>
    <w:p w14:paraId="1B01EEF4" w14:textId="627D88F6" w:rsidR="009E3150" w:rsidRPr="009E3150" w:rsidRDefault="009E3150" w:rsidP="009E3150">
      <w:pPr>
        <w:pStyle w:val="References"/>
        <w:rPr>
          <w:lang w:val="ru-RU"/>
        </w:rPr>
      </w:pPr>
      <w:r>
        <w:t>D. K. Das, M. Ghosh, M. Pal, A. K. Maiti, and C. Chakraborty, "Machine learning approach for automated screening of malaria parasite using light microscopic images," Micron, vol. 45, pp. 97–106, 2013.</w:t>
      </w:r>
    </w:p>
    <w:p w14:paraId="1DDF288F" w14:textId="58C174DB" w:rsidR="00F66F7E" w:rsidRDefault="009E3150" w:rsidP="009E3150">
      <w:pPr>
        <w:pStyle w:val="References"/>
      </w:pPr>
      <w:r>
        <w:t>C. Di Ruberto, A. Dempster, S. Khan, and B. Jarra, "Segmentation of blood images using morphological operators," in Proceedings of the 15th International Conference on Pattern Recognition (ICPR), vol. 3, pp. 397–400, 2000.</w:t>
      </w:r>
    </w:p>
    <w:sectPr w:rsidR="00F66F7E" w:rsidSect="005D61CD">
      <w:headerReference w:type="even" r:id="rId8"/>
      <w:headerReference w:type="default" r:id="rId9"/>
      <w:footerReference w:type="even" r:id="rId10"/>
      <w:footerReference w:type="default" r:id="rId11"/>
      <w:headerReference w:type="first" r:id="rId12"/>
      <w:footerReference w:type="first" r:id="rId13"/>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2E003" w14:textId="77777777" w:rsidR="00033E2A" w:rsidRDefault="00033E2A">
      <w:r>
        <w:separator/>
      </w:r>
    </w:p>
  </w:endnote>
  <w:endnote w:type="continuationSeparator" w:id="0">
    <w:p w14:paraId="4BE7BD1A" w14:textId="77777777" w:rsidR="00033E2A" w:rsidRDefault="00033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1"/>
    <w:family w:val="roman"/>
    <w:pitch w:val="variable"/>
    <w:sig w:usb0="0000A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auto"/>
    <w:pitch w:val="variable"/>
    <w:sig w:usb0="00000003" w:usb1="00000000" w:usb2="00000000" w:usb3="00000000" w:csb0="00000003"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5211" w14:textId="77777777" w:rsidR="00737598" w:rsidRDefault="00737598">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29C1" w14:textId="77777777" w:rsidR="00737598" w:rsidRDefault="00737598">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9023" w14:textId="77777777" w:rsidR="00737598" w:rsidRDefault="0073759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BADCB" w14:textId="77777777" w:rsidR="00033E2A" w:rsidRDefault="00033E2A">
      <w:r>
        <w:separator/>
      </w:r>
    </w:p>
  </w:footnote>
  <w:footnote w:type="continuationSeparator" w:id="0">
    <w:p w14:paraId="2644B3A9" w14:textId="77777777" w:rsidR="00033E2A" w:rsidRDefault="00033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6FED" w14:textId="77777777" w:rsidR="0037698C" w:rsidRDefault="0037698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0DF1" w14:textId="77777777" w:rsidR="00737598" w:rsidRDefault="00737598">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969" w14:textId="77777777" w:rsidR="0037698C" w:rsidRDefault="0037698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2234A0D4"/>
    <w:name w:val="WW8Num1"/>
    <w:lvl w:ilvl="0">
      <w:start w:val="1"/>
      <w:numFmt w:val="decimal"/>
      <w:pStyle w:val="1"/>
      <w:suff w:val="space"/>
      <w:lvlText w:val="%1."/>
      <w:lvlJc w:val="left"/>
      <w:pPr>
        <w:tabs>
          <w:tab w:val="num" w:pos="0"/>
        </w:tabs>
        <w:ind w:left="432" w:hanging="432"/>
      </w:pPr>
    </w:lvl>
    <w:lvl w:ilvl="1">
      <w:start w:val="1"/>
      <w:numFmt w:val="decimal"/>
      <w:pStyle w:val="2"/>
      <w:suff w:val="space"/>
      <w:lvlText w:val="%1.%2."/>
      <w:lvlJc w:val="left"/>
      <w:pPr>
        <w:tabs>
          <w:tab w:val="num" w:pos="0"/>
        </w:tabs>
        <w:ind w:left="576" w:hanging="576"/>
      </w:pPr>
      <w:rPr>
        <w:b/>
        <w:bCs/>
        <w:sz w:val="22"/>
        <w:szCs w:val="22"/>
      </w:r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num w:numId="1" w16cid:durableId="1741710159">
    <w:abstractNumId w:val="0"/>
  </w:num>
  <w:num w:numId="2" w16cid:durableId="923535313">
    <w:abstractNumId w:val="1"/>
  </w:num>
  <w:num w:numId="3" w16cid:durableId="182062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defaultTabStop w:val="202"/>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33E2A"/>
    <w:rsid w:val="000534E2"/>
    <w:rsid w:val="000C0414"/>
    <w:rsid w:val="000F6CAE"/>
    <w:rsid w:val="00104664"/>
    <w:rsid w:val="00191877"/>
    <w:rsid w:val="001C7E11"/>
    <w:rsid w:val="001F29CC"/>
    <w:rsid w:val="002371BB"/>
    <w:rsid w:val="00241835"/>
    <w:rsid w:val="002477B7"/>
    <w:rsid w:val="00251F16"/>
    <w:rsid w:val="002B6BFC"/>
    <w:rsid w:val="002C1FC7"/>
    <w:rsid w:val="002E3D6A"/>
    <w:rsid w:val="002F05C3"/>
    <w:rsid w:val="003142D9"/>
    <w:rsid w:val="00354D6B"/>
    <w:rsid w:val="0037698C"/>
    <w:rsid w:val="003E3A46"/>
    <w:rsid w:val="00410DC5"/>
    <w:rsid w:val="0041196D"/>
    <w:rsid w:val="00437C99"/>
    <w:rsid w:val="00484418"/>
    <w:rsid w:val="004E0E37"/>
    <w:rsid w:val="00526C9E"/>
    <w:rsid w:val="00532EAA"/>
    <w:rsid w:val="00587C02"/>
    <w:rsid w:val="005D61CD"/>
    <w:rsid w:val="006324DA"/>
    <w:rsid w:val="0066092D"/>
    <w:rsid w:val="00672C7C"/>
    <w:rsid w:val="006751AB"/>
    <w:rsid w:val="006C00F0"/>
    <w:rsid w:val="00706950"/>
    <w:rsid w:val="00725BAB"/>
    <w:rsid w:val="00727A47"/>
    <w:rsid w:val="0073244D"/>
    <w:rsid w:val="00737598"/>
    <w:rsid w:val="0075435D"/>
    <w:rsid w:val="00764B5B"/>
    <w:rsid w:val="00802680"/>
    <w:rsid w:val="00825CB8"/>
    <w:rsid w:val="0082755C"/>
    <w:rsid w:val="00833AF4"/>
    <w:rsid w:val="00852F40"/>
    <w:rsid w:val="00884C38"/>
    <w:rsid w:val="00936E62"/>
    <w:rsid w:val="00955656"/>
    <w:rsid w:val="0095785C"/>
    <w:rsid w:val="009E3150"/>
    <w:rsid w:val="00A008F0"/>
    <w:rsid w:val="00A05D1B"/>
    <w:rsid w:val="00A54D8A"/>
    <w:rsid w:val="00A62E8F"/>
    <w:rsid w:val="00AA1BE1"/>
    <w:rsid w:val="00AC5631"/>
    <w:rsid w:val="00BB5C9C"/>
    <w:rsid w:val="00BF645E"/>
    <w:rsid w:val="00CB1912"/>
    <w:rsid w:val="00CE4C91"/>
    <w:rsid w:val="00D01EE8"/>
    <w:rsid w:val="00D04357"/>
    <w:rsid w:val="00D43A63"/>
    <w:rsid w:val="00D60DE5"/>
    <w:rsid w:val="00D94115"/>
    <w:rsid w:val="00E55195"/>
    <w:rsid w:val="00E57E13"/>
    <w:rsid w:val="00E6288E"/>
    <w:rsid w:val="00E628D0"/>
    <w:rsid w:val="00E63A37"/>
    <w:rsid w:val="00E86551"/>
    <w:rsid w:val="00EB57C6"/>
    <w:rsid w:val="00F23DF3"/>
    <w:rsid w:val="00F658A1"/>
    <w:rsid w:val="00F66F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autoSpaceDE w:val="0"/>
    </w:pPr>
    <w:rPr>
      <w:lang w:val="en-US"/>
    </w:rPr>
  </w:style>
  <w:style w:type="paragraph" w:styleId="1">
    <w:name w:val="heading 1"/>
    <w:basedOn w:val="a"/>
    <w:next w:val="a"/>
    <w:qFormat/>
    <w:pPr>
      <w:keepNext/>
      <w:numPr>
        <w:numId w:val="2"/>
      </w:numPr>
      <w:spacing w:before="240" w:after="80"/>
      <w:outlineLvl w:val="0"/>
    </w:pPr>
  </w:style>
  <w:style w:type="paragraph" w:styleId="2">
    <w:name w:val="heading 2"/>
    <w:basedOn w:val="a"/>
    <w:next w:val="a"/>
    <w:qFormat/>
    <w:pPr>
      <w:keepNext/>
      <w:numPr>
        <w:ilvl w:val="1"/>
        <w:numId w:val="2"/>
      </w:numPr>
      <w:spacing w:before="240" w:after="120"/>
      <w:ind w:left="578" w:hanging="578"/>
      <w:outlineLvl w:val="1"/>
    </w:pPr>
  </w:style>
  <w:style w:type="paragraph" w:styleId="3">
    <w:name w:val="heading 3"/>
    <w:basedOn w:val="a"/>
    <w:next w:val="a"/>
    <w:qFormat/>
    <w:pPr>
      <w:keepNext/>
      <w:numPr>
        <w:ilvl w:val="2"/>
        <w:numId w:val="2"/>
      </w:numPr>
      <w:outlineLvl w:val="2"/>
    </w:pPr>
    <w:rPr>
      <w:i/>
      <w:iCs/>
    </w:rPr>
  </w:style>
  <w:style w:type="paragraph" w:styleId="4">
    <w:name w:val="heading 4"/>
    <w:basedOn w:val="a"/>
    <w:next w:val="a"/>
    <w:qFormat/>
    <w:pPr>
      <w:keepNext/>
      <w:numPr>
        <w:ilvl w:val="3"/>
        <w:numId w:val="2"/>
      </w:numPr>
      <w:spacing w:before="240" w:after="60"/>
      <w:outlineLvl w:val="3"/>
    </w:pPr>
  </w:style>
  <w:style w:type="paragraph" w:styleId="5">
    <w:name w:val="heading 5"/>
    <w:basedOn w:val="a"/>
    <w:next w:val="a"/>
    <w:qFormat/>
    <w:pPr>
      <w:numPr>
        <w:ilvl w:val="4"/>
        <w:numId w:val="2"/>
      </w:numPr>
      <w:spacing w:before="240" w:after="60"/>
      <w:outlineLvl w:val="4"/>
    </w:pPr>
    <w:rPr>
      <w:sz w:val="18"/>
      <w:szCs w:val="18"/>
    </w:rPr>
  </w:style>
  <w:style w:type="paragraph" w:styleId="6">
    <w:name w:val="heading 6"/>
    <w:basedOn w:val="a"/>
    <w:next w:val="a"/>
    <w:qFormat/>
    <w:pPr>
      <w:numPr>
        <w:ilvl w:val="5"/>
        <w:numId w:val="2"/>
      </w:numPr>
      <w:spacing w:before="240" w:after="60"/>
      <w:outlineLvl w:val="5"/>
    </w:pPr>
  </w:style>
  <w:style w:type="paragraph" w:styleId="7">
    <w:name w:val="heading 7"/>
    <w:basedOn w:val="a"/>
    <w:next w:val="a"/>
    <w:qFormat/>
    <w:pPr>
      <w:numPr>
        <w:ilvl w:val="6"/>
        <w:numId w:val="2"/>
      </w:numPr>
      <w:spacing w:before="240" w:after="60"/>
      <w:outlineLvl w:val="6"/>
    </w:pPr>
    <w:rPr>
      <w:sz w:val="16"/>
      <w:szCs w:val="16"/>
    </w:rPr>
  </w:style>
  <w:style w:type="paragraph" w:styleId="8">
    <w:name w:val="heading 8"/>
    <w:basedOn w:val="a"/>
    <w:next w:val="a"/>
    <w:qFormat/>
    <w:pPr>
      <w:numPr>
        <w:ilvl w:val="7"/>
        <w:numId w:val="2"/>
      </w:numPr>
      <w:spacing w:before="240" w:after="60"/>
      <w:outlineLvl w:val="7"/>
    </w:pPr>
  </w:style>
  <w:style w:type="paragraph" w:styleId="9">
    <w:name w:val="heading 9"/>
    <w:basedOn w:val="a"/>
    <w:next w:val="a"/>
    <w:qFormat/>
    <w:pPr>
      <w:numPr>
        <w:ilvl w:val="8"/>
        <w:numId w:val="2"/>
      </w:numPr>
      <w:spacing w:before="240" w:after="60"/>
      <w:outlineLvl w:val="8"/>
    </w:pPr>
    <w:rPr>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a3">
    <w:name w:val="Hyperlink"/>
  </w:style>
  <w:style w:type="character" w:styleId="a4">
    <w:name w:val="FollowedHyperlink"/>
  </w:style>
  <w:style w:type="character" w:styleId="a5">
    <w:name w:val="page number"/>
    <w:basedOn w:val="a0"/>
  </w:style>
  <w:style w:type="character" w:customStyle="1" w:styleId="Heading1Char">
    <w:name w:val="Heading 1 Char"/>
  </w:style>
  <w:style w:type="character" w:customStyle="1" w:styleId="TextChar">
    <w:name w:val="Text Char"/>
  </w:style>
  <w:style w:type="character" w:styleId="a6">
    <w:name w:val="footnote reference"/>
    <w:rPr>
      <w:vertAlign w:val="superscript"/>
    </w:rPr>
  </w:style>
  <w:style w:type="character" w:styleId="a7">
    <w:name w:val="endnote reference"/>
    <w:rPr>
      <w:vertAlign w:val="superscript"/>
    </w:rPr>
  </w:style>
  <w:style w:type="character" w:customStyle="1" w:styleId="EndnoteCharacters">
    <w:name w:val="Endnote Characters"/>
  </w:style>
  <w:style w:type="paragraph" w:customStyle="1" w:styleId="Heading">
    <w:name w:val="Heading"/>
    <w:basedOn w:val="a"/>
    <w:next w:val="a"/>
    <w:pPr>
      <w:jc w:val="center"/>
    </w:pPr>
  </w:style>
  <w:style w:type="paragraph" w:styleId="a8">
    <w:name w:val="Body Text"/>
    <w:basedOn w:val="a"/>
    <w:pPr>
      <w:spacing w:after="140" w:line="288" w:lineRule="auto"/>
    </w:pPr>
  </w:style>
  <w:style w:type="paragraph" w:styleId="a9">
    <w:name w:val="List"/>
    <w:basedOn w:val="a8"/>
    <w:rPr>
      <w:rFonts w:cs="Mangal"/>
    </w:rPr>
  </w:style>
  <w:style w:type="paragraph" w:styleId="aa">
    <w:name w:val="caption"/>
    <w:basedOn w:val="a"/>
    <w:next w:val="a"/>
    <w:qFormat/>
    <w:rPr>
      <w:b/>
      <w:bCs/>
    </w:rPr>
  </w:style>
  <w:style w:type="paragraph" w:customStyle="1" w:styleId="Index">
    <w:name w:val="Index"/>
    <w:basedOn w:val="a"/>
    <w:pPr>
      <w:suppressLineNumbers/>
    </w:pPr>
    <w:rPr>
      <w:rFonts w:cs="Mangal"/>
    </w:rPr>
  </w:style>
  <w:style w:type="paragraph" w:customStyle="1" w:styleId="Abstract">
    <w:name w:val="Abstract"/>
    <w:basedOn w:val="a"/>
    <w:next w:val="a"/>
    <w:pPr>
      <w:spacing w:before="20"/>
      <w:ind w:firstLine="202"/>
      <w:jc w:val="both"/>
    </w:pPr>
  </w:style>
  <w:style w:type="paragraph" w:customStyle="1" w:styleId="Authors">
    <w:name w:val="Authors"/>
    <w:basedOn w:val="a"/>
    <w:next w:val="a"/>
    <w:pPr>
      <w:spacing w:after="320"/>
      <w:jc w:val="center"/>
    </w:pPr>
    <w:rPr>
      <w:sz w:val="22"/>
      <w:szCs w:val="22"/>
    </w:rPr>
  </w:style>
  <w:style w:type="paragraph" w:styleId="ab">
    <w:name w:val="footnote text"/>
    <w:basedOn w:val="a"/>
    <w:pPr>
      <w:ind w:firstLine="202"/>
      <w:jc w:val="both"/>
    </w:pPr>
    <w:rPr>
      <w:sz w:val="16"/>
      <w:szCs w:val="16"/>
    </w:rPr>
  </w:style>
  <w:style w:type="paragraph" w:customStyle="1" w:styleId="References">
    <w:name w:val="References"/>
    <w:basedOn w:val="a"/>
    <w:pPr>
      <w:numPr>
        <w:numId w:val="3"/>
      </w:numPr>
      <w:jc w:val="both"/>
    </w:pPr>
    <w:rPr>
      <w:sz w:val="18"/>
      <w:szCs w:val="16"/>
    </w:rPr>
  </w:style>
  <w:style w:type="paragraph" w:customStyle="1" w:styleId="IndexTerms">
    <w:name w:val="IndexTerms"/>
    <w:basedOn w:val="a"/>
    <w:next w:val="a"/>
    <w:pPr>
      <w:ind w:firstLine="202"/>
      <w:jc w:val="both"/>
    </w:pPr>
  </w:style>
  <w:style w:type="paragraph" w:styleId="ac">
    <w:name w:val="footer"/>
    <w:basedOn w:val="a"/>
    <w:pPr>
      <w:tabs>
        <w:tab w:val="center" w:pos="4320"/>
        <w:tab w:val="right" w:pos="8640"/>
      </w:tabs>
    </w:pPr>
  </w:style>
  <w:style w:type="paragraph" w:customStyle="1" w:styleId="Text">
    <w:name w:val="Text"/>
    <w:basedOn w:val="a"/>
    <w:pPr>
      <w:widowControl w:val="0"/>
      <w:ind w:firstLine="204"/>
      <w:jc w:val="both"/>
    </w:pPr>
  </w:style>
  <w:style w:type="paragraph" w:customStyle="1" w:styleId="FigureCaption">
    <w:name w:val="Figure Caption"/>
    <w:basedOn w:val="a"/>
    <w:pPr>
      <w:jc w:val="both"/>
    </w:pPr>
    <w:rPr>
      <w:sz w:val="18"/>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d">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paragraph" w:styleId="ae">
    <w:name w:val="Body Text Indent"/>
    <w:basedOn w:val="a"/>
    <w:pPr>
      <w:ind w:left="630" w:hanging="630"/>
    </w:pPr>
    <w:rPr>
      <w:szCs w:val="24"/>
    </w:rPr>
  </w:style>
  <w:style w:type="paragraph" w:customStyle="1" w:styleId="FrameContents">
    <w:name w:val="Frame Contents"/>
    <w:basedOn w:val="a"/>
  </w:style>
  <w:style w:type="paragraph" w:customStyle="1" w:styleId="TableContents">
    <w:name w:val="Table Contents"/>
    <w:basedOn w:val="a"/>
    <w:pPr>
      <w:suppressLineNumbers/>
    </w:pPr>
  </w:style>
  <w:style w:type="paragraph" w:customStyle="1" w:styleId="TableHeading">
    <w:name w:val="Table Heading"/>
    <w:basedOn w:val="TableContents"/>
    <w:pPr>
      <w:jc w:val="center"/>
    </w:pPr>
    <w:rPr>
      <w:b/>
      <w:bCs/>
    </w:rPr>
  </w:style>
  <w:style w:type="paragraph" w:styleId="af">
    <w:name w:val="Balloon Text"/>
    <w:basedOn w:val="a"/>
    <w:link w:val="af0"/>
    <w:uiPriority w:val="99"/>
    <w:semiHidden/>
    <w:unhideWhenUsed/>
    <w:rsid w:val="00E6288E"/>
    <w:rPr>
      <w:rFonts w:ascii="SimSun" w:eastAsia="SimSun"/>
      <w:sz w:val="18"/>
      <w:szCs w:val="18"/>
    </w:rPr>
  </w:style>
  <w:style w:type="character" w:customStyle="1" w:styleId="af0">
    <w:name w:val="Текст выноски Знак"/>
    <w:link w:val="af"/>
    <w:uiPriority w:val="99"/>
    <w:semiHidden/>
    <w:rsid w:val="00E6288E"/>
    <w:rPr>
      <w:rFonts w:ascii="SimSun" w:eastAsia="SimSun"/>
      <w:sz w:val="18"/>
      <w:szCs w:val="18"/>
      <w:lang w:eastAsia="en-US"/>
    </w:rPr>
  </w:style>
  <w:style w:type="character" w:styleId="af1">
    <w:name w:val="Placeholder Text"/>
    <w:basedOn w:val="a0"/>
    <w:uiPriority w:val="99"/>
    <w:unhideWhenUsed/>
    <w:rsid w:val="00D01EE8"/>
    <w:rPr>
      <w:color w:val="808080"/>
    </w:rPr>
  </w:style>
  <w:style w:type="character" w:styleId="af2">
    <w:name w:val="Unresolved Mention"/>
    <w:basedOn w:val="a0"/>
    <w:uiPriority w:val="99"/>
    <w:semiHidden/>
    <w:unhideWhenUsed/>
    <w:rsid w:val="002C1FC7"/>
    <w:rPr>
      <w:color w:val="605E5C"/>
      <w:shd w:val="clear" w:color="auto" w:fill="E1DFDD"/>
    </w:rPr>
  </w:style>
  <w:style w:type="paragraph" w:styleId="af3">
    <w:name w:val="Normal (Web)"/>
    <w:basedOn w:val="a"/>
    <w:uiPriority w:val="99"/>
    <w:semiHidden/>
    <w:unhideWhenUsed/>
    <w:rsid w:val="002C1FC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computer.org/about/contac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2</Pages>
  <Words>796</Words>
  <Characters>4542</Characters>
  <Application>Microsoft Office Word</Application>
  <DocSecurity>0</DocSecurity>
  <Lines>37</Lines>
  <Paragraphs>10</Paragraphs>
  <ScaleCrop>false</ScaleCrop>
  <HeadingPairs>
    <vt:vector size="6" baseType="variant">
      <vt:variant>
        <vt:lpstr>Название</vt:lpstr>
      </vt:variant>
      <vt:variant>
        <vt:i4>1</vt:i4>
      </vt:variant>
      <vt:variant>
        <vt:lpstr>Title</vt:lpstr>
      </vt:variant>
      <vt:variant>
        <vt:i4>1</vt:i4>
      </vt:variant>
      <vt:variant>
        <vt:lpstr>Titre</vt:lpstr>
      </vt:variant>
      <vt:variant>
        <vt:i4>1</vt:i4>
      </vt:variant>
    </vt:vector>
  </HeadingPairs>
  <TitlesOfParts>
    <vt:vector size="3" baseType="lpstr">
      <vt:lpstr/>
      <vt:lpstr/>
      <vt:lpstr></vt:lpstr>
    </vt:vector>
  </TitlesOfParts>
  <Manager/>
  <Company/>
  <LinksUpToDate>false</LinksUpToDate>
  <CharactersWithSpaces>5328</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Polina Soloveva</dc:creator>
  <cp:keywords/>
  <dc:description/>
  <cp:lastModifiedBy>Polina Soloveva</cp:lastModifiedBy>
  <cp:revision>7</cp:revision>
  <cp:lastPrinted>2021-05-11T23:29:00Z</cp:lastPrinted>
  <dcterms:created xsi:type="dcterms:W3CDTF">2026-01-31T10:55:00Z</dcterms:created>
  <dcterms:modified xsi:type="dcterms:W3CDTF">2026-01-31T15:38:00Z</dcterms:modified>
  <cp:category/>
</cp:coreProperties>
</file>