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jc w:val="center"/>
      </w:pPr>
      <w:r>
        <w:rPr>
          <w:rFonts w:ascii="Times New Roman" w:cs="Times New Roman" w:eastAsia="Times New Roman" w:hAnsi="Times New Roman"/>
          <w:b/>
          <w:bCs/>
          <w:caps/>
          <w:sz w:val="28"/>
          <w:szCs w:val="28"/>
        </w:rPr>
        <w:t xml:space="preserve">Documento de Arquitectura de Software y Diseño Modular</w:t>
      </w:r>
    </w:p>
    <w:p>
      <w:pPr>
        <w:spacing w:after="60" w:before="0" w:line="276"/>
        <w:jc w:val="center"/>
      </w:pPr>
      <w:r>
        <w:rPr>
          <w:rFonts w:ascii="Times New Roman" w:cs="Times New Roman" w:eastAsia="Times New Roman" w:hAnsi="Times New Roman"/>
          <w:b/>
          <w:bCs/>
          <w:sz w:val="24"/>
          <w:szCs w:val="24"/>
        </w:rPr>
        <w:t xml:space="preserve">Proyecto: Sistema de Ventas de Aparatos Electrónicos de Escritorio</w:t>
      </w:r>
    </w:p>
    <w:p>
      <w:pPr>
        <w:spacing w:after="60" w:before="0" w:line="276"/>
        <w:jc w:val="center"/>
      </w:pPr>
      <w:r>
        <w:rPr>
          <w:rFonts w:ascii="Times New Roman" w:cs="Times New Roman" w:eastAsia="Times New Roman" w:hAnsi="Times New Roman"/>
          <w:b/>
          <w:bCs/>
          <w:sz w:val="22"/>
          <w:szCs w:val="22"/>
        </w:rPr>
        <w:t xml:space="preserve">Empresa:</w:t>
      </w:r>
      <w:r>
        <w:rPr>
          <w:rFonts w:ascii="Times New Roman" w:cs="Times New Roman" w:eastAsia="Times New Roman" w:hAnsi="Times New Roman"/>
          <w:sz w:val="22"/>
          <w:szCs w:val="22"/>
        </w:rPr>
        <w:t xml:space="preserve"> Empresa StockFlow | </w:t>
      </w:r>
      <w:r>
        <w:rPr>
          <w:rFonts w:ascii="Times New Roman" w:cs="Times New Roman" w:eastAsia="Times New Roman" w:hAnsi="Times New Roman"/>
          <w:b/>
          <w:bCs/>
          <w:sz w:val="22"/>
          <w:szCs w:val="22"/>
        </w:rPr>
        <w:t xml:space="preserve">Ciclo:</w:t>
      </w:r>
      <w:r>
        <w:rPr>
          <w:rFonts w:ascii="Times New Roman" w:cs="Times New Roman" w:eastAsia="Times New Roman" w:hAnsi="Times New Roman"/>
          <w:sz w:val="22"/>
          <w:szCs w:val="22"/>
        </w:rPr>
        <w:t xml:space="preserve"> 1 | </w:t>
      </w:r>
      <w:r>
        <w:rPr>
          <w:rFonts w:ascii="Times New Roman" w:cs="Times New Roman" w:eastAsia="Times New Roman" w:hAnsi="Times New Roman"/>
          <w:b/>
          <w:bCs/>
          <w:sz w:val="22"/>
          <w:szCs w:val="22"/>
        </w:rPr>
        <w:t xml:space="preserve">Etapa:</w:t>
      </w:r>
      <w:r>
        <w:rPr>
          <w:rFonts w:ascii="Times New Roman" w:cs="Times New Roman" w:eastAsia="Times New Roman" w:hAnsi="Times New Roman"/>
          <w:sz w:val="22"/>
          <w:szCs w:val="22"/>
        </w:rPr>
        <w:t xml:space="preserve"> DIS | </w:t>
      </w:r>
      <w:r>
        <w:rPr>
          <w:rFonts w:ascii="Times New Roman" w:cs="Times New Roman" w:eastAsia="Times New Roman" w:hAnsi="Times New Roman"/>
          <w:b/>
          <w:bCs/>
          <w:sz w:val="22"/>
          <w:szCs w:val="22"/>
        </w:rPr>
        <w:t xml:space="preserve">Estado:</w:t>
      </w:r>
      <w:r>
        <w:rPr>
          <w:rFonts w:ascii="Times New Roman" w:cs="Times New Roman" w:eastAsia="Times New Roman" w:hAnsi="Times New Roman"/>
          <w:sz w:val="22"/>
          <w:szCs w:val="22"/>
        </w:rPr>
        <w:t xml:space="preserve"> [BORRADOR]</w:t>
      </w:r>
    </w:p>
    <w:p>
      <w:pPr>
        <w:spacing w:after="160" w:before="0" w:line="276"/>
        <w:jc w:val="center"/>
      </w:pPr>
      <w:r>
        <w:rPr>
          <w:rFonts w:ascii="Times New Roman" w:cs="Times New Roman" w:eastAsia="Times New Roman" w:hAnsi="Times New Roman"/>
          <w:b/>
          <w:bCs/>
          <w:sz w:val="22"/>
          <w:szCs w:val="22"/>
        </w:rPr>
        <w:t xml:space="preserve">Archivo oficial:</w:t>
      </w:r>
      <w:r>
        <w:rPr>
          <w:rFonts w:ascii="Times New Roman" w:cs="Times New Roman" w:eastAsia="Times New Roman" w:hAnsi="Times New Roman"/>
          <w:sz w:val="22"/>
          <w:szCs w:val="22"/>
        </w:rPr>
        <w:t xml:space="preserve"> STKD_ARQ_V0_3_291026.docx | </w:t>
      </w:r>
      <w:r>
        <w:rPr>
          <w:rFonts w:ascii="Times New Roman" w:cs="Times New Roman" w:eastAsia="Times New Roman" w:hAnsi="Times New Roman"/>
          <w:b/>
          <w:bCs/>
          <w:sz w:val="22"/>
          <w:szCs w:val="22"/>
        </w:rPr>
        <w:t xml:space="preserve">Responsable:</w:t>
      </w:r>
      <w:r>
        <w:rPr>
          <w:rFonts w:ascii="Times New Roman" w:cs="Times New Roman" w:eastAsia="Times New Roman" w:hAnsi="Times New Roman"/>
          <w:sz w:val="22"/>
          <w:szCs w:val="22"/>
        </w:rPr>
        <w:t xml:space="preserve"> DAOJ</w:t>
      </w:r>
    </w:p>
    <w:p>
      <w:pPr>
        <w:pStyle w:val="Heading2"/>
        <w:keepNext/>
        <w:spacing w:after="80" w:before="160"/>
      </w:pPr>
      <w:r>
        <w:rPr>
          <w:rFonts w:ascii="Times New Roman" w:cs="Times New Roman" w:eastAsia="Times New Roman" w:hAnsi="Times New Roman"/>
          <w:b/>
          <w:bCs/>
          <w:sz w:val="24"/>
          <w:szCs w:val="24"/>
        </w:rPr>
        <w:t xml:space="preserve">Control de versiones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115"/>
        <w:gridCol w:w="1064"/>
        <w:gridCol w:w="1812"/>
        <w:gridCol w:w="774"/>
        <w:gridCol w:w="774"/>
        <w:gridCol w:w="774"/>
        <w:gridCol w:w="774"/>
        <w:gridCol w:w="943"/>
        <w:gridCol w:w="943"/>
      </w:tblGrid>
      <w:tr>
        <w:trPr>
          <w:cantSplit/>
          <w:tblHeader/>
        </w:trPr>
        <w:tc>
          <w:tcPr>
            <w:tcW w:type="dxa" w:w="2115"/>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Nombre</w:t>
            </w:r>
          </w:p>
        </w:tc>
        <w:tc>
          <w:tcPr>
            <w:tcW w:type="dxa" w:w="106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Fecha</w:t>
            </w:r>
          </w:p>
        </w:tc>
        <w:tc>
          <w:tcPr>
            <w:tcW w:type="dxa" w:w="1812"/>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Razón del cambio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Autor</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Versión</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Inicio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Fin</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Estimado</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Real</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STKD_ARQ_V0_1_191026.pdf</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19-Oct-2026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Definición de la arquitectura de software, estilo arquitectónico en capas (MVC/DAO), diseño modular, diagrama de componentes y paquetes Java para el sistema de escritorio.</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0.1</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r>
      <w:tr>
        <w:trPr>
          <w:cantSplit/>
        </w:trPr>
        <w:tc>
          <w:tcPr>
            <w:tcW w:type="dxa" w:w="2115"/>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STKD_ARQ_V0_2_241026.docx</w:t>
            </w:r>
          </w:p>
        </w:tc>
        <w:tc>
          <w:tcPr>
            <w:tcW w:type="dxa" w:w="106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24-Oct-2026</w:t>
            </w:r>
          </w:p>
        </w:tc>
        <w:tc>
          <w:tcPr>
            <w:tcW w:type="dxa" w:w="1812"/>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Incorporación de clientes y vendedor (MOD-05): clases Cliente, Vendedor, ClienteService, VendedorService, ValidadorCliente, ProductoService, CategoriaService, InventarioService y DAO asociados; actualización de diagramas de capas, secuencia y clases.</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0.2</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180 min</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registrar</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STKD_ARQ_V0_3_291026.docx</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29-Oct-2026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Incorporación de MOD-06 (catálogo e inventario): clases ProductoService, CategoriaService, InventarioService, MovimientoInventario y DAO asociados; eliminación de clientes sin historial; actualización de diagramas de capas, secuencia y clases.</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0.3</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120 min</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registrar</w:t>
            </w:r>
          </w:p>
        </w:tc>
      </w:tr>
    </w:tbl>
    <w:p>
      <w:pPr>
        <w:spacing w:after="120" w:before="0"/>
      </w:pPr>
    </w:p>
    <w:p>
      <w:pPr>
        <w:spacing w:after="60" w:before="0" w:line="360"/>
        <w:jc w:val="both"/>
      </w:pPr>
      <w:r>
        <w:rPr>
          <w:rFonts w:ascii="Times New Roman" w:cs="Times New Roman" w:eastAsia="Times New Roman" w:hAnsi="Times New Roman"/>
          <w:b/>
          <w:bCs/>
          <w:sz w:val="24"/>
          <w:szCs w:val="24"/>
        </w:rPr>
        <w:t xml:space="preserve">Revisión / apoyo:</w:t>
      </w:r>
      <w:r>
        <w:rPr>
          <w:rFonts w:ascii="Times New Roman" w:cs="Times New Roman" w:eastAsia="Times New Roman" w:hAnsi="Times New Roman"/>
          <w:sz w:val="24"/>
          <w:szCs w:val="24"/>
        </w:rPr>
        <w:t xml:space="preserve"> VMTS (Víctor Manuel Tequiliquihua de los Santos), KTCG (Kevin Tomás Caballero Guzmán).</w:t>
      </w:r>
    </w:p>
    <w:p>
      <w:pPr>
        <w:pStyle w:val="Heading1"/>
        <w:keepNext/>
        <w:spacing w:after="100" w:before="240"/>
      </w:pPr>
      <w:r>
        <w:rPr>
          <w:rFonts w:ascii="Times New Roman" w:cs="Times New Roman" w:eastAsia="Times New Roman" w:hAnsi="Times New Roman"/>
          <w:b/>
          <w:bCs/>
          <w:sz w:val="28"/>
          <w:szCs w:val="28"/>
        </w:rPr>
        <w:t xml:space="preserve">1. Introducción</w:t>
      </w:r>
    </w:p>
    <w:p>
      <w:pPr>
        <w:spacing w:after="60" w:before="0" w:line="360"/>
        <w:jc w:val="both"/>
      </w:pPr>
      <w:r>
        <w:rPr>
          <w:rFonts w:ascii="Times New Roman" w:cs="Times New Roman" w:eastAsia="Times New Roman" w:hAnsi="Times New Roman"/>
          <w:sz w:val="24"/>
          <w:szCs w:val="24"/>
        </w:rPr>
        <w:t xml:space="preserve">Este documento presenta la especificación arquitectónica y el diseño modular del Sistema de Ventas de Aparatos Electrónicos de Escritorio (StockFlow). Toma como entrada los requerimientos del SRS (STKD_SRS_V0_3_291026) y las maquetaciones del documento de pantallas (STKD_MCK_V0_3_291026), y establece la estructura técnica para la construcción en Java Swing con persistencia local. Esta versión incorpora el módulo MOD-05 (clientes y vendedor).</w:t>
      </w:r>
    </w:p>
    <w:p>
      <w:pPr>
        <w:pStyle w:val="Heading2"/>
        <w:keepNext/>
        <w:spacing w:after="80" w:before="160"/>
      </w:pPr>
      <w:r>
        <w:rPr>
          <w:rFonts w:ascii="Times New Roman" w:cs="Times New Roman" w:eastAsia="Times New Roman" w:hAnsi="Times New Roman"/>
          <w:b/>
          <w:bCs/>
          <w:sz w:val="24"/>
          <w:szCs w:val="24"/>
        </w:rPr>
        <w:t xml:space="preserve">1.1 Objetivos arquitectónicos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Separación de responsabilidades:</w:t>
      </w:r>
      <w:r>
        <w:rPr>
          <w:rFonts w:ascii="Times New Roman" w:cs="Times New Roman" w:eastAsia="Times New Roman" w:hAnsi="Times New Roman"/>
          <w:sz w:val="24"/>
          <w:szCs w:val="24"/>
        </w:rPr>
        <w:t xml:space="preserve"> aplicar el patrón de tres capas (Presentación, Lógica de Negocio y Acceso a Datos / DAO) en cumplimiento de RNF-08.</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Persistencia atómica local:</w:t>
      </w:r>
      <w:r>
        <w:rPr>
          <w:rFonts w:ascii="Times New Roman" w:cs="Times New Roman" w:eastAsia="Times New Roman" w:hAnsi="Times New Roman"/>
          <w:sz w:val="24"/>
          <w:szCs w:val="24"/>
        </w:rPr>
        <w:t xml:space="preserve"> garantizar que el registro de la venta y el descuento de inventario se ejecuten como una sola operación (RNF-03, RNF-04).</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Bajo acoplamiento y alta cohesión:</w:t>
      </w:r>
      <w:r>
        <w:rPr>
          <w:rFonts w:ascii="Times New Roman" w:cs="Times New Roman" w:eastAsia="Times New Roman" w:hAnsi="Times New Roman"/>
          <w:sz w:val="24"/>
          <w:szCs w:val="24"/>
        </w:rPr>
        <w:t xml:space="preserve"> módulos independientes que permitan a AESA (lógica funcional), VMTS (base de datos) y DAOJ (interfaz) integrar componentes sin interferir entre sí.</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Integridad de los datos de clientes:</w:t>
      </w:r>
      <w:r>
        <w:rPr>
          <w:rFonts w:ascii="Times New Roman" w:cs="Times New Roman" w:eastAsia="Times New Roman" w:hAnsi="Times New Roman"/>
          <w:sz w:val="24"/>
          <w:szCs w:val="24"/>
        </w:rPr>
        <w:t xml:space="preserve"> validación de datos críticos y unicidad de RFC y correo tanto en la lógica de negocio como en la base de datos (RF-04.2, RF-04.3).</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Protección de datos personales:</w:t>
      </w:r>
      <w:r>
        <w:rPr>
          <w:rFonts w:ascii="Times New Roman" w:cs="Times New Roman" w:eastAsia="Times New Roman" w:hAnsi="Times New Roman"/>
          <w:sz w:val="24"/>
          <w:szCs w:val="24"/>
        </w:rPr>
        <w:t xml:space="preserve"> datos de clientes y vendedor solo en la base local, incluidos en los respaldos (RNF-09).</w:t>
      </w:r>
    </w:p>
    <w:p>
      <w:pPr>
        <w:pStyle w:val="Heading1"/>
        <w:keepNext/>
        <w:spacing w:after="100" w:before="240"/>
      </w:pPr>
      <w:r>
        <w:rPr>
          <w:rFonts w:ascii="Times New Roman" w:cs="Times New Roman" w:eastAsia="Times New Roman" w:hAnsi="Times New Roman"/>
          <w:b/>
          <w:bCs/>
          <w:sz w:val="28"/>
          <w:szCs w:val="28"/>
        </w:rPr>
        <w:t xml:space="preserve">2. Vista general de la arquitectura (patrón de tres capas)</w:t>
      </w:r>
    </w:p>
    <w:p>
      <w:pPr>
        <w:spacing w:after="60" w:before="0" w:line="360"/>
        <w:jc w:val="both"/>
      </w:pPr>
      <w:r>
        <w:rPr>
          <w:rFonts w:ascii="Times New Roman" w:cs="Times New Roman" w:eastAsia="Times New Roman" w:hAnsi="Times New Roman"/>
          <w:sz w:val="24"/>
          <w:szCs w:val="24"/>
        </w:rPr>
        <w:t xml:space="preserve">La arquitectura sigue un estilo de 3 capas (Layered Architecture) implementado con el patrón MVC y desacoplado mediante el patrón DAO (Data Access Object):</w:t>
      </w:r>
    </w:p>
    <w:p>
      <w:pPr>
        <w:spacing w:after="60" w:before="60"/>
        <w:jc w:val="center"/>
      </w:pPr>
      <w:r>
        <w:drawing>
          <wp:inline distT="0" distB="0" distL="0" distR="0">
            <wp:extent cx="5848350" cy="1219200"/>
            <wp:effectExtent t="0" r="0" b="0" l="0"/>
            <wp:docPr id="1" name="Arquitectura en capas" descr="Arquitectura en capas" title="Arquitectura en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1219200"/>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 Arquitectura de tres capas de StockFlow con los componentes de MOD-05 y MOD-06.</w:t>
      </w:r>
    </w:p>
    <w:p>
      <w:pPr>
        <w:pStyle w:val="Heading1"/>
        <w:keepNext/>
        <w:spacing w:after="100" w:before="240"/>
      </w:pPr>
      <w:r>
        <w:rPr>
          <w:rFonts w:ascii="Times New Roman" w:cs="Times New Roman" w:eastAsia="Times New Roman" w:hAnsi="Times New Roman"/>
          <w:b/>
          <w:bCs/>
          <w:sz w:val="28"/>
          <w:szCs w:val="28"/>
        </w:rPr>
        <w:t xml:space="preserve">3. Diseño modular y paquetes Java</w:t>
      </w:r>
    </w:p>
    <w:p>
      <w:pPr>
        <w:spacing w:after="60" w:before="0" w:line="360"/>
        <w:jc w:val="both"/>
      </w:pPr>
      <w:r>
        <w:rPr>
          <w:rFonts w:ascii="Times New Roman" w:cs="Times New Roman" w:eastAsia="Times New Roman" w:hAnsi="Times New Roman"/>
          <w:sz w:val="24"/>
          <w:szCs w:val="24"/>
        </w:rPr>
        <w:t xml:space="preserve">Para organizar el código en la etapa de desarrollo (EDT 1.3), el sistema se divide en los siguientes paquetes del espacio de nombres com.stockflow:</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873"/>
        <w:gridCol w:w="1800"/>
      </w:tblGrid>
      <w:tr>
        <w:trPr>
          <w:cantSplit/>
          <w:tblHeader/>
        </w:trPr>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Módulo / paquete</w:t>
            </w:r>
          </w:p>
        </w:tc>
        <w:tc>
          <w:tcPr>
            <w:tcW w:type="dxa" w:w="26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Clases principales</w:t>
            </w:r>
          </w:p>
        </w:tc>
        <w:tc>
          <w:tcPr>
            <w:tcW w:type="dxa" w:w="38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Propósito y responsabilidad</w:t>
            </w:r>
          </w:p>
        </w:tc>
        <w:tc>
          <w:tcPr>
            <w:tcW w:type="dxa" w:w="18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Responsable</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com.stockflow.vista</w:t>
            </w:r>
          </w:p>
        </w:tc>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FrmMostrador, DlgConfirmarVenta, DlgVentaExitosa, PanelTablaCatalogo, PanelClientes, DlgFormularioCliente, PanelPerfilCliente, PanelVendedor, PanelInventario, DlgProducto, DlgCategorias, DlgStock</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Componentes gráficos en Java Swing (JTable, JTextField, JButton, JComboBox). Muestran la información de mostrador, clientes y vendedor y capturan eventos de teclado (F2, F4, F5, F6, ESC).</w:t>
            </w:r>
          </w:p>
        </w:tc>
        <w:tc>
          <w:tcPr>
            <w:tcW w:type="dxa" w:w="1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 (Arquitecto / UI)</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com.stockflow.modelo</w:t>
            </w:r>
          </w:p>
        </w:tc>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Producto, Venta, DetalleVenta, Categoria, Cliente, Vendedor, TipoCliente, EstadoCliente, MovimientoInventario, TipoMovimiento</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Clases POJO que representan los datos de negocio con atributos, getters/setters y operaciones de encapsulamiento.</w:t>
            </w:r>
          </w:p>
        </w:tc>
        <w:tc>
          <w:tcPr>
            <w:tcW w:type="dxa" w:w="1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 (Desarrollo funcional)</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com.stockflow.controlador</w:t>
            </w:r>
          </w:p>
        </w:tc>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VentaService, CatalogoService, CalculadoraImpuestos, ClienteService, VendedorService, ValidadorCliente</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Reglas de negocio: subtotales, IVA (16%), validación de stock (RN-02, EX-01), venta vacía (RN-04), validación de factura (RN-12), duplicidad de RFC y correo (RN-08), estado del cliente (RN-09) y perfil del vendedor (RN-11).</w:t>
            </w:r>
          </w:p>
        </w:tc>
        <w:tc>
          <w:tcPr>
            <w:tcW w:type="dxa" w:w="1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 (Desarrollo funcional); ClienteService con apoyo de VMTS</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com.stockflow.dao</w:t>
            </w:r>
          </w:p>
        </w:tc>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ProductoDAO, VentaDAO, FolioGeneratorDAO, ClienteDAO, VendedorDAO, CategoriaDAO, MovimientoDAO, RepositorioProducto, RepositorioCliente, RepositorioVendedor, RepositorioCategoria, RepositorioMovimiento, PersistenciaVenta</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Interfaces y clases de acceso a datos SQL (JDBC): SELECT, INSERT y UPDATE, con bloque transaccional atómico (commit/rollback) para la venta, y consultas de unicidad y búsqueda de clientes.</w:t>
            </w:r>
          </w:p>
        </w:tc>
        <w:tc>
          <w:tcPr>
            <w:tcW w:type="dxa" w:w="1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(Persistencia / BD)</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com.stockflow.util</w:t>
            </w:r>
          </w:p>
        </w:tc>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ConexionBD, FormateadorMoneda, GestorAtajosTeclado</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Utilidades globales: conexión a la base local (RNF-04), formato de precios en MXN y manejo centralizado de atajos de teclado.</w:t>
            </w:r>
          </w:p>
        </w:tc>
        <w:tc>
          <w:tcPr>
            <w:tcW w:type="dxa" w:w="1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DAOJ</w:t>
            </w:r>
          </w:p>
        </w:tc>
      </w:tr>
    </w:tbl>
    <w:p>
      <w:pPr>
        <w:pStyle w:val="Heading1"/>
        <w:keepNext/>
        <w:spacing w:after="100" w:before="240"/>
      </w:pPr>
      <w:r>
        <w:rPr>
          <w:rFonts w:ascii="Times New Roman" w:cs="Times New Roman" w:eastAsia="Times New Roman" w:hAnsi="Times New Roman"/>
          <w:b/>
          <w:bCs/>
          <w:sz w:val="28"/>
          <w:szCs w:val="28"/>
        </w:rPr>
        <w:t xml:space="preserve">4. Diagramas de secuencia</w:t>
      </w:r>
    </w:p>
    <w:p>
      <w:pPr>
        <w:pStyle w:val="Heading2"/>
        <w:keepNext/>
        <w:spacing w:after="80" w:before="160"/>
      </w:pPr>
      <w:r>
        <w:rPr>
          <w:rFonts w:ascii="Times New Roman" w:cs="Times New Roman" w:eastAsia="Times New Roman" w:hAnsi="Times New Roman"/>
          <w:b/>
          <w:bCs/>
          <w:sz w:val="24"/>
          <w:szCs w:val="24"/>
        </w:rPr>
        <w:t xml:space="preserve">4.1 Flujo de cierre de venta y folio</w:t>
      </w:r>
    </w:p>
    <w:p>
      <w:pPr>
        <w:spacing w:after="60" w:before="0" w:line="360"/>
        <w:jc w:val="both"/>
      </w:pPr>
      <w:r>
        <w:rPr>
          <w:rFonts w:ascii="Times New Roman" w:cs="Times New Roman" w:eastAsia="Times New Roman" w:hAnsi="Times New Roman"/>
          <w:sz w:val="24"/>
          <w:szCs w:val="24"/>
        </w:rPr>
        <w:t xml:space="preserve">El diagrama detalla la interacción entre componentes cuando el vendedor presiona F5 para confirmar una compra. El vendedor se obtiene del perfil registrado y, si la venta requiere factura, se valida al cliente antes de abrir el modal de cierre:</w:t>
      </w:r>
    </w:p>
    <w:p>
      <w:pPr>
        <w:spacing w:after="60" w:before="60"/>
        <w:jc w:val="center"/>
      </w:pPr>
      <w:r>
        <w:drawing>
          <wp:inline distT="0" distB="0" distL="0" distR="0">
            <wp:extent cx="6038850" cy="4467225"/>
            <wp:effectExtent t="0" r="0" b="0" l="0"/>
            <wp:docPr id="1" name="Secuencia venta" descr="Secuencia venta" title="Secuencia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446722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2. Secuencia de cierre de venta, descuento de stock y folio.</w:t>
      </w:r>
    </w:p>
    <w:p>
      <w:pPr>
        <w:pStyle w:val="Heading2"/>
        <w:keepNext/>
        <w:spacing w:after="80" w:before="160"/>
      </w:pPr>
      <w:r>
        <w:rPr>
          <w:rFonts w:ascii="Times New Roman" w:cs="Times New Roman" w:eastAsia="Times New Roman" w:hAnsi="Times New Roman"/>
          <w:b/>
          <w:bCs/>
          <w:sz w:val="24"/>
          <w:szCs w:val="24"/>
        </w:rPr>
        <w:t xml:space="preserve">4.2 Flujo de registro de un cliente</w:t>
      </w:r>
    </w:p>
    <w:p>
      <w:pPr>
        <w:spacing w:after="60" w:before="0" w:line="360"/>
        <w:jc w:val="both"/>
      </w:pPr>
      <w:r>
        <w:rPr>
          <w:rFonts w:ascii="Times New Roman" w:cs="Times New Roman" w:eastAsia="Times New Roman" w:hAnsi="Times New Roman"/>
          <w:sz w:val="24"/>
          <w:szCs w:val="24"/>
        </w:rPr>
        <w:t xml:space="preserve">El formulario consulta la unicidad de RFC y correo mientras el vendedor escribe y, al guardar, la lógica de negocio valida los datos críticos antes de insertar el registro:</w:t>
      </w:r>
    </w:p>
    <w:p>
      <w:pPr>
        <w:spacing w:after="60" w:before="60"/>
        <w:jc w:val="center"/>
      </w:pPr>
      <w:r>
        <w:drawing>
          <wp:inline distT="0" distB="0" distL="0" distR="0">
            <wp:extent cx="5848350" cy="5057775"/>
            <wp:effectExtent t="0" r="0" b="0" l="0"/>
            <wp:docPr id="1" name="Secuencia cliente" descr="Secuencia cliente" title="Secuencia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50577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3. Secuencia de validación en tiempo real y registro de un cliente.</w:t>
      </w:r>
    </w:p>
    <w:p>
      <w:pPr>
        <w:pStyle w:val="Heading2"/>
        <w:keepNext/>
        <w:spacing w:after="80" w:before="160"/>
      </w:pPr>
      <w:r>
        <w:rPr>
          <w:rFonts w:ascii="Times New Roman" w:cs="Times New Roman" w:eastAsia="Times New Roman" w:hAnsi="Times New Roman"/>
          <w:b/>
          <w:bCs/>
          <w:sz w:val="24"/>
          <w:szCs w:val="24"/>
        </w:rPr>
        <w:t xml:space="preserve">4.3 Flujo de entrada de stock</w:t>
      </w:r>
    </w:p>
    <w:p>
      <w:pPr>
        <w:spacing w:after="60" w:before="0" w:line="360"/>
        <w:jc w:val="both"/>
      </w:pPr>
      <w:r>
        <w:rPr>
          <w:rFonts w:ascii="Times New Roman" w:cs="Times New Roman" w:eastAsia="Times New Roman" w:hAnsi="Times New Roman"/>
          <w:sz w:val="24"/>
          <w:szCs w:val="24"/>
        </w:rPr>
        <w:t xml:space="preserve">Al añadir stock, InventarioService valida la cantidad y, en una sola transacción, actualiza la existencia y registra el movimiento de inventario (RF-06.7, RN-18). El ajuste de stock (RF-06.8) sigue el mismo flujo, con el motivo y la existencia exacta.</w:t>
      </w:r>
    </w:p>
    <w:p>
      <w:pPr>
        <w:spacing w:after="60" w:before="60"/>
        <w:jc w:val="center"/>
      </w:pPr>
      <w:r>
        <w:drawing>
          <wp:inline distT="0" distB="0" distL="0" distR="0">
            <wp:extent cx="5848350" cy="3838575"/>
            <wp:effectExtent t="0" r="0" b="0" l="0"/>
            <wp:docPr id="1" name="Secuencia stock" descr="Secuencia stock" title="Secuencia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8385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4. Secuencia de entrada de stock con registro del movimiento.</w:t>
      </w:r>
    </w:p>
    <w:p>
      <w:pPr>
        <w:pStyle w:val="Heading2"/>
        <w:keepNext/>
        <w:spacing w:after="80" w:before="160"/>
      </w:pPr>
      <w:r>
        <w:rPr>
          <w:rFonts w:ascii="Times New Roman" w:cs="Times New Roman" w:eastAsia="Times New Roman" w:hAnsi="Times New Roman"/>
          <w:b/>
          <w:bCs/>
          <w:sz w:val="24"/>
          <w:szCs w:val="24"/>
        </w:rPr>
        <w:t xml:space="preserve">4.4 Flujo de eliminación de un producto</w:t>
      </w:r>
    </w:p>
    <w:p>
      <w:pPr>
        <w:spacing w:after="60" w:before="0" w:line="360"/>
        <w:jc w:val="both"/>
      </w:pPr>
      <w:r>
        <w:rPr>
          <w:rFonts w:ascii="Times New Roman" w:cs="Times New Roman" w:eastAsia="Times New Roman" w:hAnsi="Times New Roman"/>
          <w:sz w:val="24"/>
          <w:szCs w:val="24"/>
        </w:rPr>
        <w:t xml:space="preserve">Antes de borrar, ProductoService consulta si el producto aparece en ventas (RN-16). Si hay historial, la eliminación se bloquea con EX-09; la eliminación de categorías (RN-17) y de clientes (RN-10, EX-07) sigue la misma lógica de verificación previa.</w:t>
      </w:r>
    </w:p>
    <w:p>
      <w:pPr>
        <w:spacing w:after="60" w:before="60"/>
        <w:jc w:val="center"/>
      </w:pPr>
      <w:r>
        <w:drawing>
          <wp:inline distT="0" distB="0" distL="0" distR="0">
            <wp:extent cx="5848350" cy="4371975"/>
            <wp:effectExtent t="0" r="0" b="0" l="0"/>
            <wp:docPr id="1" name="Secuencia eliminar" descr="Secuencia eliminar" title="Secuencia elimi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43719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5. Secuencia de eliminación con verificación de historial.</w:t>
      </w:r>
    </w:p>
    <w:p>
      <w:pPr>
        <w:pStyle w:val="Heading1"/>
        <w:keepNext/>
        <w:spacing w:after="100" w:before="240"/>
      </w:pPr>
      <w:r>
        <w:rPr>
          <w:rFonts w:ascii="Times New Roman" w:cs="Times New Roman" w:eastAsia="Times New Roman" w:hAnsi="Times New Roman"/>
          <w:b/>
          <w:bCs/>
          <w:sz w:val="28"/>
          <w:szCs w:val="28"/>
        </w:rPr>
        <w:t xml:space="preserve">5. Decisiones técnicas y mecanismos de calidad (RNF)</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Gestión atómica de transacciones (RNF-03 / RN-06):</w:t>
      </w:r>
      <w:r>
        <w:rPr>
          <w:rFonts w:ascii="Times New Roman" w:cs="Times New Roman" w:eastAsia="Times New Roman" w:hAnsi="Times New Roman"/>
          <w:sz w:val="24"/>
          <w:szCs w:val="24"/>
        </w:rPr>
        <w:t xml:space="preserve"> VentaDAO.registrarVenta() desactiva el AutoCommit (connection.setAutoCommit(false)); el INSERT de la orden y sus detalles y el UPDATE de existencias se ejecutan en un único bloque try-catch. Si ocurre un error se ejecuta connection.rollback() (EX-03).</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Folios únicos consecutivos (RF-03.3 / RN-05):</w:t>
      </w:r>
      <w:r>
        <w:rPr>
          <w:rFonts w:ascii="Times New Roman" w:cs="Times New Roman" w:eastAsia="Times New Roman" w:hAnsi="Times New Roman"/>
          <w:sz w:val="24"/>
          <w:szCs w:val="24"/>
        </w:rPr>
        <w:t xml:space="preserve"> formato STKD-AAAA-XXXX (ej. STKD-2026-0042), calculado mediante una secuencia en la base local únicamente cuando la transacción de cobro se ha confirmado.</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Códigos de cliente consecutivos (RF-04.1):</w:t>
      </w:r>
      <w:r>
        <w:rPr>
          <w:rFonts w:ascii="Times New Roman" w:cs="Times New Roman" w:eastAsia="Times New Roman" w:hAnsi="Times New Roman"/>
          <w:sz w:val="24"/>
          <w:szCs w:val="24"/>
        </w:rPr>
        <w:t xml:space="preserve"> formato CLI-NNNN generado por ClienteDAO mediante una secuencia; el código no se edita y no se reutiliza.</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Unicidad de RFC y correo (RF-04.3 / RN-08):</w:t>
      </w:r>
      <w:r>
        <w:rPr>
          <w:rFonts w:ascii="Times New Roman" w:cs="Times New Roman" w:eastAsia="Times New Roman" w:hAnsi="Times New Roman"/>
          <w:sz w:val="24"/>
          <w:szCs w:val="24"/>
        </w:rPr>
        <w:t xml:space="preserve"> doble protección: ClienteService consulta existeRfc() y existeCorreo() mientras el vendedor escribe, y la base de datos impone restricciones UNIQUE como respaldo ante condiciones de carrera. Los campos vacíos se guardan como NULL para que no choquen entre sí.</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Cliente opcional y factura (RN-07 / RN-12):</w:t>
      </w:r>
      <w:r>
        <w:rPr>
          <w:rFonts w:ascii="Times New Roman" w:cs="Times New Roman" w:eastAsia="Times New Roman" w:hAnsi="Times New Roman"/>
          <w:sz w:val="24"/>
          <w:szCs w:val="24"/>
        </w:rPr>
        <w:t xml:space="preserve"> la venta guarda codigo_cliente como NULL cuando es «Público en general». VentaService.validarFactura() exige cliente activo con RFC, razón social y correo antes de abrir SCR-02 (EX-06).</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Historial de clientes (RN-10):</w:t>
      </w:r>
      <w:r>
        <w:rPr>
          <w:rFonts w:ascii="Times New Roman" w:cs="Times New Roman" w:eastAsia="Times New Roman" w:hAnsi="Times New Roman"/>
          <w:sz w:val="24"/>
          <w:szCs w:val="24"/>
        </w:rPr>
        <w:t xml:space="preserve"> la llave foránea de la orden hacia cliente no permite eliminar clientes con ventas (ON DELETE RESTRICT); la baja se hace con el campo estado.</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Vendedor único (RN-11):</w:t>
      </w:r>
      <w:r>
        <w:rPr>
          <w:rFonts w:ascii="Times New Roman" w:cs="Times New Roman" w:eastAsia="Times New Roman" w:hAnsi="Times New Roman"/>
          <w:sz w:val="24"/>
          <w:szCs w:val="24"/>
        </w:rPr>
        <w:t xml:space="preserve"> VendedorService.obtenerVendedor() entrega siempre el registro existente; la venta guarda su identificador. No existe operación de eliminación.</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Fecha de modificación (RN-13):</w:t>
      </w:r>
      <w:r>
        <w:rPr>
          <w:rFonts w:ascii="Times New Roman" w:cs="Times New Roman" w:eastAsia="Times New Roman" w:hAnsi="Times New Roman"/>
          <w:sz w:val="24"/>
          <w:szCs w:val="24"/>
        </w:rPr>
        <w:t xml:space="preserve"> la actualiza la capa de lógica de negocio en cada cambio de cliente o vendedor, no la interfaz.</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Manejo desacoplado de eventos en la interfaz:</w:t>
      </w:r>
      <w:r>
        <w:rPr>
          <w:rFonts w:ascii="Times New Roman" w:cs="Times New Roman" w:eastAsia="Times New Roman" w:hAnsi="Times New Roman"/>
          <w:sz w:val="24"/>
          <w:szCs w:val="24"/>
        </w:rPr>
        <w:t xml:space="preserve"> los componentes de la vista no contienen SQL ni reglas de negocio; escuchan eventos de mouse y teclado y delegan en los servicios.</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Independencia de red y persistencia local (RNF-04 / RNF-05 / RNF-09):</w:t>
      </w:r>
      <w:r>
        <w:rPr>
          <w:rFonts w:ascii="Times New Roman" w:cs="Times New Roman" w:eastAsia="Times New Roman" w:hAnsi="Times New Roman"/>
          <w:sz w:val="24"/>
          <w:szCs w:val="24"/>
        </w:rPr>
        <w:t xml:space="preserve"> la base se ejecuta en el almacenamiento del equipo con respaldos manuales en archivo (.sql/.db) que incluyen clientes y vendedor (RNF-06).</w:t>
      </w:r>
    </w:p>
    <w:p>
      <w:pPr>
        <w:pStyle w:val="Heading1"/>
        <w:keepNext/>
        <w:spacing w:after="100" w:before="240"/>
      </w:pPr>
      <w:r>
        <w:rPr>
          <w:rFonts w:ascii="Times New Roman" w:cs="Times New Roman" w:eastAsia="Times New Roman" w:hAnsi="Times New Roman"/>
          <w:b/>
          <w:bCs/>
          <w:sz w:val="28"/>
          <w:szCs w:val="28"/>
        </w:rPr>
        <w:t xml:space="preserve">6. Trazabilidad de arquitectura vs. requisitos del SRS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473"/>
      </w:tblGrid>
      <w:tr>
        <w:trPr>
          <w:cantSplit/>
          <w:tblHeader/>
        </w:trPr>
        <w:tc>
          <w:tcPr>
            <w:tcW w:type="dxa" w:w="26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calidad</w:t>
            </w:r>
          </w:p>
        </w:tc>
        <w:tc>
          <w:tcPr>
            <w:tcW w:type="dxa" w:w="2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Componente arquitectónico</w:t>
            </w:r>
          </w:p>
        </w:tc>
        <w:tc>
          <w:tcPr>
            <w:tcW w:type="dxa" w:w="44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Mecanismo de implementación</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 RF-01.2 (Consulta y búsqueda)</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CatalogoService / ProductoDAO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Consultas SQL con LIKE por código o nombre y cláusula WHERE categoria = ?.</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RF-02.1 / EX-01 (Validar stock)</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VentaService.validarStock()</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Compara spnCantidad contra producto.getStock() y envía la alerta visual.</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RF-02.2 (Totales e IVA)</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CalculadoraImpuestos</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Calcula subtotal, IVA (16% sobre el subtotal) y total tras cada cambio en la lista.</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RF-03.1 / RN-12 / EX-06 (Factura)</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VentaService.validarFactura() / ClienteService</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Verifica cliente activo con RFC, razón social y correo antes del modal de cierre.</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RF-03.2 / RNF-03 (Transacción atómica)</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VentaDAO.registrarVenta()</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Transacciones JDBC con commit() y rollback() en la base local.</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RF-03.3 (Folio único)</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FolioGeneratorDAO</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Secuencia atómica incremental asignada tras el cierre del registro.</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 / RF-04.2 (Registro y validación)</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ClienteService / ValidadorCliente / ClienteDAO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Validación de datos críticos, formato de RFC, correo y teléfono; código CLI generado en el DAO.</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RF-04.3 (Duplicidad RFC / correo)</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ClienteService.existeRfc() / existeCorreo()</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 de unicidad en tiempo real y restricción UNIQUE en la tabla cliente.</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a RF-04.8 (Lista, perfil, estado, búsqueda, segmentación)</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ClienteService / ClienteDAO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Consultas filtradas por texto (nombre, código, teléfono), estado y tipo; cambio de estado sin borrado físico.</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RF-04.9 (Consolidado de compras)</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ClienteService.obtenerConsolidado() / ClienteDAO.ventasDe()</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 de las órdenes del cliente con totales acumulados.</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RF-05.1 / RF-05.2 (Vendedor)</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VendedorService / VendedorDAO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Lectura y actualización del único registro; la venta guarda su id.</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RF-04.10 / RN-10 / EX-07 (Eliminar cliente)</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ClienteService.eliminar() / ClienteDAO.contarVentas()</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Cuenta las ventas del cliente; si no tiene, ejecuta DELETE; si tiene, bloquea y propone Inactivo. FK con ON DELETE RESTRICT.</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RF-06.1 / RF-06.2 (Alta y modificación de producto)</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ProductoService / ProductoDAO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Validación de código único (RN-14), precio mayor que cero y categoría existente; INSERT y UPDATE.</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RF-06.3 / RN-16 / EX-09 (Eliminar producto)</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ProductoService.eliminarProducto() / ProductoDAO.tieneVentas()</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 de dependencias en detalle_orden antes del DELETE.</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RF-06.4 a RF-06.6 (Categorías)</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CategoriaService / CategoriaDAO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Nombre único (RN-15); conteo de productos antes de eliminar (RN-17).</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RF-06.7 / RF-06.8 / RN-18 (Stock)</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InventarioService / MovimientoDAO</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Transacción que actualiza la existencia y registra el movimiento; la existencia no puede quedar negativa.</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RNF-08 (Mantenibilidad)</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Paquetes vista, modelo, controlador y 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Arquitectura de 3 capas MVC/DAO que separa la interfaz de la base de datos.</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RNF-09 (Datos personales)</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ConexionBD / respaldo</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solo en la base local, incluidos en respaldo y restauración.</w:t>
            </w:r>
          </w:p>
        </w:tc>
      </w:tr>
    </w:tbl>
    <w:p>
      <w:pPr>
        <w:spacing w:after="60" w:before="80" w:line="360"/>
        <w:jc w:val="both"/>
      </w:pPr>
      <w:r>
        <w:rPr>
          <w:rFonts w:ascii="Times New Roman" w:cs="Times New Roman" w:eastAsia="Times New Roman" w:hAnsi="Times New Roman"/>
          <w:sz w:val="24"/>
          <w:szCs w:val="24"/>
        </w:rPr>
        <w:t xml:space="preserve">Las eliminaciones se protegen en dos niveles: la capa de negocio verifica el historial antes de borrar y la base de datos usa llaves foráneas con ON DELETE RESTRICT, de modo que ningún cliente con ventas, producto con ventas ni categoría con productos puede eliminarse aunque falle una validación de la aplicación.</w:t>
      </w:r>
    </w:p>
    <w:p>
      <w:pPr>
        <w:pStyle w:val="Heading1"/>
        <w:keepNext/>
        <w:spacing w:after="100" w:before="240"/>
      </w:pPr>
      <w:r>
        <w:rPr>
          <w:rFonts w:ascii="Times New Roman" w:cs="Times New Roman" w:eastAsia="Times New Roman" w:hAnsi="Times New Roman"/>
          <w:b/>
          <w:bCs/>
          <w:sz w:val="28"/>
          <w:szCs w:val="28"/>
        </w:rPr>
        <w:t xml:space="preserve">7. Conclusión</w:t>
      </w:r>
    </w:p>
    <w:p>
      <w:pPr>
        <w:spacing w:after="60" w:before="0" w:line="360"/>
        <w:jc w:val="both"/>
      </w:pPr>
      <w:r>
        <w:rPr>
          <w:rFonts w:ascii="Times New Roman" w:cs="Times New Roman" w:eastAsia="Times New Roman" w:hAnsi="Times New Roman"/>
          <w:sz w:val="24"/>
          <w:szCs w:val="24"/>
        </w:rPr>
        <w:t xml:space="preserve">El presente documento establece la estructura técnica, modular y transaccional del proyecto StockFlow, incluyendo la gestión de clientes y del vendedor. La división por capas, la convención de paquetes y los mecanismos atómicos y de unicidad aseguran que la fase de desarrollo (EDT 1.3) se ejecute de manera organizada y sin ambigüedades técnicas entre los integrantes del equipo.</w:t>
      </w:r>
    </w:p>
    <w:p>
      <w:pPr>
        <w:pStyle w:val="Heading1"/>
        <w:keepNext/>
        <w:pageBreakBefore/>
        <w:spacing w:after="100" w:before="240"/>
      </w:pPr>
      <w:r>
        <w:rPr>
          <w:rFonts w:ascii="Times New Roman" w:cs="Times New Roman" w:eastAsia="Times New Roman" w:hAnsi="Times New Roman"/>
          <w:b/>
          <w:bCs/>
          <w:sz w:val="28"/>
          <w:szCs w:val="28"/>
        </w:rPr>
        <w:t xml:space="preserve">8. Diagramas de clases</w:t>
      </w:r>
    </w:p>
    <w:p>
      <w:pPr>
        <w:spacing w:after="60" w:before="0" w:line="360"/>
        <w:jc w:val="both"/>
      </w:pPr>
      <w:r>
        <w:rPr>
          <w:rFonts w:ascii="Times New Roman" w:cs="Times New Roman" w:eastAsia="Times New Roman" w:hAnsi="Times New Roman"/>
          <w:sz w:val="24"/>
          <w:szCs w:val="24"/>
        </w:rPr>
        <w:t xml:space="preserve">Los diagramas representan la propuesta de clases para la implementación en Java, manteniendo la separación por capas definida en este documento.</w:t>
      </w:r>
    </w:p>
    <w:p>
      <w:pPr>
        <w:pStyle w:val="Heading2"/>
        <w:keepNext/>
        <w:spacing w:after="80" w:before="160"/>
      </w:pPr>
      <w:r>
        <w:rPr>
          <w:rFonts w:ascii="Times New Roman" w:cs="Times New Roman" w:eastAsia="Times New Roman" w:hAnsi="Times New Roman"/>
          <w:b/>
          <w:bCs/>
          <w:sz w:val="24"/>
          <w:szCs w:val="24"/>
        </w:rPr>
        <w:t xml:space="preserve">8.1 Modelo de dominio</w:t>
      </w:r>
    </w:p>
    <w:p>
      <w:pPr>
        <w:spacing w:after="60" w:before="60"/>
        <w:jc w:val="center"/>
      </w:pPr>
      <w:r>
        <w:drawing>
          <wp:inline distT="0" distB="0" distL="0" distR="0">
            <wp:extent cx="5124450" cy="5257800"/>
            <wp:effectExtent t="0" r="0" b="0" l="0"/>
            <wp:docPr id="1" name="Dominio" descr="Dominio" title="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5257800"/>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6. Modelo de dominio: Entidad abstracta, herencia hacia Producto, Cliente, Vendedor y Venta, interfaz Calculable y relación de la venta con vendedor y cliente opcional.</w:t>
      </w:r>
    </w:p>
    <w:p>
      <w:pPr>
        <w:pStyle w:val="Heading2"/>
        <w:keepNext/>
        <w:spacing w:after="80" w:before="160"/>
      </w:pPr>
      <w:r>
        <w:rPr>
          <w:rFonts w:ascii="Times New Roman" w:cs="Times New Roman" w:eastAsia="Times New Roman" w:hAnsi="Times New Roman"/>
          <w:b/>
          <w:bCs/>
          <w:sz w:val="24"/>
          <w:szCs w:val="24"/>
        </w:rPr>
        <w:t xml:space="preserve">8.2 Servicios y persistencia</w:t>
      </w:r>
    </w:p>
    <w:p>
      <w:pPr>
        <w:spacing w:after="60" w:before="60"/>
        <w:jc w:val="center"/>
      </w:pPr>
      <w:r>
        <w:drawing>
          <wp:inline distT="0" distB="0" distL="0" distR="0">
            <wp:extent cx="6038850" cy="1971675"/>
            <wp:effectExtent t="0" r="0" b="0" l="0"/>
            <wp:docPr id="1" name="Servicios venta" descr="Servicios venta" title="Servicios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19716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7. Servicios de catálogo y venta: los servicios dependen de interfaces y los DAO las implementan.</w:t>
      </w:r>
    </w:p>
    <w:p>
      <w:pPr>
        <w:spacing w:after="60" w:before="60"/>
        <w:jc w:val="center"/>
      </w:pPr>
      <w:r>
        <w:drawing>
          <wp:inline distT="0" distB="0" distL="0" distR="0">
            <wp:extent cx="6038850" cy="2114550"/>
            <wp:effectExtent t="0" r="0" b="0" l="0"/>
            <wp:docPr id="1" name="Servicios cliente" descr="Servicios cliente" title="Servicios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2114550"/>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8. Servicios de clientes y vendedor con sus repositorios y DAO.</w:t>
      </w:r>
    </w:p>
    <w:p>
      <w:pPr>
        <w:pStyle w:val="Heading2"/>
        <w:keepNext/>
        <w:spacing w:after="80" w:before="160"/>
      </w:pPr>
      <w:r>
        <w:rPr>
          <w:rFonts w:ascii="Times New Roman" w:cs="Times New Roman" w:eastAsia="Times New Roman" w:hAnsi="Times New Roman"/>
          <w:b/>
          <w:bCs/>
          <w:sz w:val="24"/>
          <w:szCs w:val="24"/>
        </w:rPr>
        <w:t xml:space="preserve">8.3 Servicios de catálogo e inventario (MOD-06)</w:t>
      </w:r>
    </w:p>
    <w:p>
      <w:pPr>
        <w:spacing w:after="60" w:before="60"/>
        <w:jc w:val="center"/>
      </w:pPr>
      <w:r>
        <w:drawing>
          <wp:inline distT="0" distB="0" distL="0" distR="0">
            <wp:extent cx="6038850" cy="1171575"/>
            <wp:effectExtent t="0" r="0" b="0" l="0"/>
            <wp:docPr id="1" name="Servicios inventario" descr="Servicios inventario" title="Servicios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11715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9. Servicios de productos, categorías y existencias con sus repositorios, DAO y el movimiento de inventario.</w:t>
      </w:r>
    </w:p>
    <w:p>
      <w:pPr>
        <w:pStyle w:val="Heading2"/>
        <w:keepNext/>
        <w:spacing w:after="80" w:before="160"/>
      </w:pPr>
      <w:r>
        <w:rPr>
          <w:rFonts w:ascii="Times New Roman" w:cs="Times New Roman" w:eastAsia="Times New Roman" w:hAnsi="Times New Roman"/>
          <w:b/>
          <w:bCs/>
          <w:sz w:val="24"/>
          <w:szCs w:val="24"/>
        </w:rPr>
        <w:t xml:space="preserve">8.4 Presentación y servicios</w:t>
      </w:r>
    </w:p>
    <w:p>
      <w:pPr>
        <w:spacing w:after="60" w:before="60"/>
        <w:jc w:val="center"/>
      </w:pPr>
      <w:r>
        <w:drawing>
          <wp:inline distT="0" distB="0" distL="0" distR="0">
            <wp:extent cx="5848350" cy="2847975"/>
            <wp:effectExtent t="0" r="0" b="0" l="0"/>
            <wp:docPr id="1" name="Vista" descr="Vista" title="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28479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10. Las ventanas Java Swing delegan las consultas y operaciones a los servicios, manteniendo separadas la interfaz y las reglas de negocio.</w:t>
      </w:r>
    </w:p>
    <w:sectPr>
      <w:headerReference w:type="default" r:id="rId7"/>
      <w:footerReference w:type="default" r:id="rId8"/>
      <w:pgSz w:w="12240" w:h="15840" w:orient="portrait"/>
      <w:pgMar w:top="1701" w:right="850" w:bottom="1134" w:left="1417" w:header="567"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Times New Roman" w:cs="Times New Roman" w:eastAsia="Times New Roman" w:hAnsi="Times New Roman"/>
        <w:sz w:val="22"/>
        <w:szCs w:val="22"/>
      </w:rPr>
      <w:t xml:space="preserve">Página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de </w:t>
    </w:r>
    <w:r>
      <w:rPr>
        <w:rFonts w:ascii="Times New Roman" w:cs="Times New Roman" w:eastAsia="Times New Roman" w:hAnsi="Times New Roman"/>
        <w:sz w:val="22"/>
        <w:szCs w:val="22"/>
      </w:rPr>
      <w:fldChar w:fldCharType="begin"/>
      <w:instrText xml:space="preserve">NUMPAGES</w:instrText>
      <w:fldChar w:fldCharType="separate"/>
      <w:fldChar w:fldCharType="end"/>
    </w:r>
  </w:p>
  <w:p>
    <w:pPr>
      <w:spacing w:after="0"/>
      <w:jc w:val="right"/>
    </w:pPr>
    <w:r>
      <w:rPr>
        <w:rFonts w:ascii="Times New Roman" w:cs="Times New Roman" w:eastAsia="Times New Roman" w:hAnsi="Times New Roman"/>
        <w:sz w:val="22"/>
        <w:szCs w:val="22"/>
      </w:rPr>
      <w:t xml:space="preserve">STKD_ARQ_V0_3_291026.docx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5186"/>
      <w:gridCol w:w="4787"/>
    </w:tblGrid>
    <w:tr>
      <w:tc>
        <w:tcPr>
          <w:tcW w:type="dxa" w:w="5186"/>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pPr>
          <w:r>
            <w:drawing>
              <wp:inline distT="0" distB="0" distL="0" distR="0">
                <wp:extent cx="1143000" cy="3429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p>
        <w:p>
          <w:pPr>
            <w:spacing w:after="0" w:before="40"/>
          </w:pPr>
          <w:r>
            <w:rPr>
              <w:rFonts w:ascii="Times New Roman" w:cs="Times New Roman" w:eastAsia="Times New Roman" w:hAnsi="Times New Roman"/>
              <w:sz w:val="22"/>
              <w:szCs w:val="22"/>
            </w:rPr>
            <w:t xml:space="preserve">Diseño modular y arquitectura</w:t>
          </w:r>
        </w:p>
      </w:tc>
      <w:tc>
        <w:tcPr>
          <w:tcW w:type="dxa" w:w="4787"/>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line="240"/>
            <w:jc w:val="right"/>
          </w:pPr>
          <w:r>
            <w:rPr>
              <w:rFonts w:ascii="Times New Roman" w:cs="Times New Roman" w:eastAsia="Times New Roman" w:hAnsi="Times New Roman"/>
              <w:sz w:val="22"/>
              <w:szCs w:val="22"/>
            </w:rPr>
            <w:t xml:space="preserve">Sistema de Ventas de Aparatos Electrónicos de Escritorio</w:t>
          </w:r>
        </w:p>
        <w:p>
          <w:pPr>
            <w:spacing w:after="0" w:line="240"/>
            <w:jc w:val="right"/>
          </w:pPr>
          <w:r>
            <w:rPr>
              <w:rFonts w:ascii="Times New Roman" w:cs="Times New Roman" w:eastAsia="Times New Roman" w:hAnsi="Times New Roman"/>
              <w:sz w:val="22"/>
              <w:szCs w:val="22"/>
            </w:rPr>
            <w:t xml:space="preserve">Ciclo: 1</w:t>
          </w:r>
        </w:p>
        <w:p>
          <w:pPr>
            <w:spacing w:after="0" w:line="240"/>
            <w:jc w:val="right"/>
          </w:pPr>
          <w:r>
            <w:rPr>
              <w:rFonts w:ascii="Times New Roman" w:cs="Times New Roman" w:eastAsia="Times New Roman" w:hAnsi="Times New Roman"/>
              <w:sz w:val="22"/>
              <w:szCs w:val="22"/>
            </w:rPr>
            <w:t xml:space="preserve">Etapa: DIS</w:t>
          </w:r>
        </w:p>
      </w:tc>
    </w:tr>
  </w:tbl>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after="10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977a83496979a182f725cbb751b353fbcf3084.png"/><Relationship Id="rId10" Type="http://schemas.openxmlformats.org/officeDocument/2006/relationships/image" Target="media/4896822da1da41fa221c7fdcbc7d3d41714f4daf.png"/><Relationship Id="rId11" Type="http://schemas.openxmlformats.org/officeDocument/2006/relationships/image" Target="media/567dd99f36fa99eaf3e3b65aa32b18c378a4137b.png"/><Relationship Id="rId12" Type="http://schemas.openxmlformats.org/officeDocument/2006/relationships/image" Target="media/a628dafc3f4bfd74a055a546bfa01303c85d92a8.png"/><Relationship Id="rId13" Type="http://schemas.openxmlformats.org/officeDocument/2006/relationships/image" Target="media/e6658826360bd70d4a2a2987d688351d82da6c5b.png"/><Relationship Id="rId14" Type="http://schemas.openxmlformats.org/officeDocument/2006/relationships/image" Target="media/152e8ab4ba4fa05c67f9ecca16d8e82969ef93ac.png"/><Relationship Id="rId15" Type="http://schemas.openxmlformats.org/officeDocument/2006/relationships/image" Target="media/ffb0c9e20ecaa0a4da5cdfe83e5f70b2bb61936d.png"/><Relationship Id="rId16" Type="http://schemas.openxmlformats.org/officeDocument/2006/relationships/image" Target="media/9395ca6cd5dd023de46ea012ba1d79cb296803fc.png"/><Relationship Id="rId17" Type="http://schemas.openxmlformats.org/officeDocument/2006/relationships/image" Target="media/23fa59cecfeba6c5acbc5bbfbd06e071cbc5b72b.png"/><Relationship Id="rId18" Type="http://schemas.openxmlformats.org/officeDocument/2006/relationships/image" Target="media/f214de6f7387ad0f80fb93993e32feb79cda7d8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8c560259798c0bda0e12130363aec867c1ad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modular y arquitectura</dc:title>
  <dc:creator>StockFlow</dc:creator>
  <cp:lastModifiedBy>Un-named</cp:lastModifiedBy>
  <cp:revision>1</cp:revision>
  <dcterms:created xsi:type="dcterms:W3CDTF">2026-10-31T02:09:18.011Z</dcterms:created>
  <dcterms:modified xsi:type="dcterms:W3CDTF">2026-10-31T02:09:18.011Z</dcterms:modified>
</cp:coreProperties>
</file>

<file path=docProps/custom.xml><?xml version="1.0" encoding="utf-8"?>
<Properties xmlns="http://schemas.openxmlformats.org/officeDocument/2006/custom-properties" xmlns:vt="http://schemas.openxmlformats.org/officeDocument/2006/docPropsVTypes"/>
</file>