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Estandarización de Artefactos del Proyecto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Sistema de Ventas de Aparatos Electrónicos de Escritorio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Empresa: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Empresa StockFlow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Ciclo: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Estado: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[EN REVISIÓN]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Archivo oficial: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STKD_EDOC_V1_1_291026.docx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KTCG / Equipo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 de versiones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064"/>
        <w:gridCol w:w="1812"/>
        <w:gridCol w:w="774"/>
        <w:gridCol w:w="774"/>
        <w:gridCol w:w="774"/>
        <w:gridCol w:w="774"/>
        <w:gridCol w:w="943"/>
        <w:gridCol w:w="943"/>
      </w:tblGrid>
      <w:tr>
        <w:trPr>
          <w:cantSplit/>
          <w:tblHeader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Razón del cambio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Inicio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Fin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Estimado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Real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STKD_EDOC_V0_1_110926.docx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13-Sep-2026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Creación del primer borrador del estándar.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12:00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18:30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 hrs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 hrs 30 min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STKD_EDOC_V1_0_110926_A.docx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13-Sep-2026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Revisión de calidad y liberación de la línea base.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19:30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20:00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30 min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STKD_EDOC_V1_1_291026.docx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Reemplazo de «compra simulada» por «compra»; ampliación de la lista de artefactos oficiales (DPN, DAP, EDT, CRO, MCK, MTR) y del nombre de los documentos con versiones consecutivas.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1.1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45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Definición y propósito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este documento acordamos cómo vamos a nombrar, redactar, revisar y guardar los artefactos del Sistema de Ventas de Aparatos Electrónicos de Escritorio. Las reglas se aplican durante todo el proyecto: desde la planeación y los requisitos hasta las pruebas, la instalación y el cierre.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idea es sencilla: que cualquier integrante pueda abrir un archivo y entender qué contiene, quién lo modificó y cuál es su estado. Un formato común también nos ayuda a revisar cambios, mantener la trazabilidad y sumar a otra persona al equipo sin obligarla a descifrar documentos distintos entre sí.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Reglas generales de documentación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Estas reglas sirven para ordenar el trabajo, no para llenarlo de trámites. Cuando preparemos un documento, cuidaremos el contenido y el formato al mismo tiempo. Si una regla entra en conflicto con una necesidad técnica del proyecto, dejaremos la decisión anotada en el control de versiones.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Nombre oficial.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Documento de Estandarización de Artefactos del Proyecto.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Acentos y caracteres.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En el texto escribiremos los acentos que correspondan. Los acrónimos y nombres de archivo no llevarán acentos ni espacios; el guion bajo (_) será el único separador permitido.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Acrónimos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acrónimos de documentos tendrán entre tres y cinco caracteres alfanuméricos y se escribirán en mayúsculas. Deben ser fáciles de relacionar con el artefacto y no se repetirán dentro del proyecto.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el equipo usaremos las iniciales del nombre y los apellidos. Si dos personas obtienen el mismo acrónimo, añadiremos una letra del nombre o del apellido hasta diferenciarlos.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4373"/>
      </w:tblGrid>
      <w:tr>
        <w:trPr>
          <w:cantSplit/>
          <w:tblHeader/>
        </w:trPr>
        <w:tc>
          <w:tcPr>
            <w:tcW w:type="dxa" w:w="4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Integrante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Acrónimo</w:t>
            </w:r>
          </w:p>
        </w:tc>
        <w:tc>
          <w:tcPr>
            <w:tcW w:type="dxa" w:w="4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Responsabilidad principal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Diego Armando Ojeda Jiménez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4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 y decisiones técnicas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Kevin Tomás Caballero Guzmán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4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Pruebas y administración de calidad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Adrián Eduardo Sánchez Alducin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4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Análisis, requisitos y trazabilidad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Víctor Manuel Tequiliquihua de los Santos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4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Datos, desarrollo e integración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Nomenclatura de archivos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nombre del archivo debe contar su historia sin necesidad de abrirlo. Primero aparecerá el proyecto o el tipo de plantilla; después, el artefacto, la versión y la fecha. La marca _A se reserva para una versión que ya fue aprobada. Las versiones deben ser consecutivas: no se saltan números entre una versión y la siguiente.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3173"/>
      </w:tblGrid>
      <w:tr>
        <w:trPr>
          <w:cantSplit/>
          <w:tblHeader/>
        </w:trPr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4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Estructura</w:t>
            </w:r>
          </w:p>
        </w:tc>
        <w:tc>
          <w:tcPr>
            <w:tcW w:type="dxa" w:w="31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Plantilla en revisión</w:t>
            </w:r>
          </w:p>
        </w:tc>
        <w:tc>
          <w:tcPr>
            <w:tcW w:type="dxa" w:w="4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[ACRONIMO_DOC]_V[X]_[Y]_[DDMMAA].[ext]</w:t>
            </w:r>
          </w:p>
        </w:tc>
        <w:tc>
          <w:tcPr>
            <w:tcW w:type="dxa" w:w="31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EDOC_V0_1_110926.docx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Plantilla aprobada</w:t>
            </w:r>
          </w:p>
        </w:tc>
        <w:tc>
          <w:tcPr>
            <w:tcW w:type="dxa" w:w="4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[ACRONIMO_DOC]_V[X]_[Y]_[DDMMAA]_A.[ext]</w:t>
            </w:r>
          </w:p>
        </w:tc>
        <w:tc>
          <w:tcPr>
            <w:tcW w:type="dxa" w:w="31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EDOC_V1_0_110926_A.docx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Documento del proyecto</w:t>
            </w:r>
          </w:p>
        </w:tc>
        <w:tc>
          <w:tcPr>
            <w:tcW w:type="dxa" w:w="4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[ACRONIMO_PROY]_[ACRONIMO_DOC]_V[X]_[Y]_[DDMMAA].[ext]</w:t>
            </w:r>
          </w:p>
        </w:tc>
        <w:tc>
          <w:tcPr>
            <w:tcW w:type="dxa" w:w="31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STKD_SRS_V0_1_150926.docx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Documento aprobado</w:t>
            </w:r>
          </w:p>
        </w:tc>
        <w:tc>
          <w:tcPr>
            <w:tcW w:type="dxa" w:w="46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[ACRONIMO_PROY]_[ACRONIMO_DOC]_V[X]_[Y]_[DDMMAA]_A.[ext]</w:t>
            </w:r>
          </w:p>
        </w:tc>
        <w:tc>
          <w:tcPr>
            <w:tcW w:type="dxa" w:w="31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STKD_SRS_V1_0_150926_A.docx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Estados del documento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[BORRADOR]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El responsable todavía está escribiendo o corrigiendo el archivo. Se identifica con una versión 0.x.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[EN REVISIÓN]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El contenido está completo para una revisión, pero aún puede recibir observaciones.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[APROBADO]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KTCG confirmó el contenido y el formato. Esta versión se convierte en línea base y su nombre termina en _A.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Control de versiones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artefacto llevará una tabla de cambios. No hace falta escribir una historia larga; basta con dejar datos que permitan reconstruir qué ocurrió y cuánto tiempo tomó.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73"/>
      </w:tblGrid>
      <w:tr>
        <w:trPr>
          <w:cantSplit/>
          <w:tblHeader/>
        </w:trPr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7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Regla de registro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</w:t>
            </w:r>
          </w:p>
        </w:tc>
        <w:tc>
          <w:tcPr>
            <w:tcW w:type="dxa" w:w="7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 completo del archivo, incluida la extensión.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</w:t>
            </w:r>
          </w:p>
        </w:tc>
        <w:tc>
          <w:tcPr>
            <w:tcW w:type="dxa" w:w="7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Formato DD-MMM-AAAA; por ejemplo, 15-Sep-2026.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Razón del cambio</w:t>
            </w:r>
          </w:p>
        </w:tc>
        <w:tc>
          <w:tcPr>
            <w:tcW w:type="dxa" w:w="7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Descripción breve del trabajo realizado.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Autor</w:t>
            </w:r>
          </w:p>
        </w:tc>
        <w:tc>
          <w:tcPr>
            <w:tcW w:type="dxa" w:w="7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Acrónimo de quien hizo la modificación.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Versión</w:t>
            </w:r>
          </w:p>
        </w:tc>
        <w:tc>
          <w:tcPr>
            <w:tcW w:type="dxa" w:w="7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0.x para borradores; 1.0 para la primera línea base; 1.x para revisiones posteriores. Los números son consecutivos.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Hora de inicio y fin</w:t>
            </w:r>
          </w:p>
        </w:tc>
        <w:tc>
          <w:tcPr>
            <w:tcW w:type="dxa" w:w="7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Formato de 24 horas, HH:MM.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Tiempo estimado y real</w:t>
            </w:r>
          </w:p>
        </w:tc>
        <w:tc>
          <w:tcPr>
            <w:tcW w:type="dxa" w:w="7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Minutos totales. La diferencia debe coincidir con las horas registradas.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 Fechas y tiempos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Dentro del documento: DD-MMM-AAAA, como 15-Sep-2026.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el nombre del archivo: DDMMAA, como 150926.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Hora: HH:MM en formato de 24 horas.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Duración: minutos totales, escritos como 90 min o 200 min.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Formato y maquetación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formato debe ayudar a leer, no competir con el contenido. Mantendremos la misma hoja, tipografía y jerarquía en todos los artefactos para que el conjunto se vea como parte de un solo proyecto.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Hoja y márgenes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973"/>
      </w:tblGrid>
      <w:tr>
        <w:trPr>
          <w:cantSplit/>
          <w:tblHeader/>
        </w:trPr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4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Medida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Tamaño</w:t>
            </w:r>
          </w:p>
        </w:tc>
        <w:tc>
          <w:tcPr>
            <w:tcW w:type="dxa" w:w="4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Carta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Margen izquierdo</w:t>
            </w:r>
          </w:p>
        </w:tc>
        <w:tc>
          <w:tcPr>
            <w:tcW w:type="dxa" w:w="4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2.5 cm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Margen derecho</w:t>
            </w:r>
          </w:p>
        </w:tc>
        <w:tc>
          <w:tcPr>
            <w:tcW w:type="dxa" w:w="4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1.5 cm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Margen superior</w:t>
            </w:r>
          </w:p>
        </w:tc>
        <w:tc>
          <w:tcPr>
            <w:tcW w:type="dxa" w:w="4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 cm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Margen inferior</w:t>
            </w:r>
          </w:p>
        </w:tc>
        <w:tc>
          <w:tcPr>
            <w:tcW w:type="dxa" w:w="4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 cm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Encabezado y pie de página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encabezado quedará a 1.0 cm del borde y se mostrará dentro de una tabla con línea doble. A la izquierda aparecerán el logotipo de StockFlow y el nombre del documento. A la derecha se indicarán el proyecto de escritorio, el ciclo y la etapa vigente: LAN, ESTRA, PLA, REQ, DIS, IMP, PRU o POS.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pie se colocará a 1.25 cm del borde y se alineará a la derecha. Incluirá «Página X de Y» y el nombre completo del archivo con su extensión.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Tipografía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73"/>
      </w:tblGrid>
      <w:tr>
        <w:trPr>
          <w:cantSplit/>
          <w:tblHeader/>
        </w:trPr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Uso</w:t>
            </w:r>
          </w:p>
        </w:tc>
        <w:tc>
          <w:tcPr>
            <w:tcW w:type="dxa" w:w="6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Formato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Título principal</w:t>
            </w:r>
          </w:p>
        </w:tc>
        <w:tc>
          <w:tcPr>
            <w:tcW w:type="dxa" w:w="6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 New Roman 14, mayúsculas y negrita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Subtítulo</w:t>
            </w:r>
          </w:p>
        </w:tc>
        <w:tc>
          <w:tcPr>
            <w:tcW w:type="dxa" w:w="6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 New Roman 14, mayúsculas y minúsculas, negrita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Cuerpo</w:t>
            </w:r>
          </w:p>
        </w:tc>
        <w:tc>
          <w:tcPr>
            <w:tcW w:type="dxa" w:w="6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 New Roman 12, texto justificado e interlineado de 1.5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Encabezado y pie</w:t>
            </w:r>
          </w:p>
        </w:tc>
        <w:tc>
          <w:tcPr>
            <w:tcW w:type="dxa" w:w="6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 New Roman 11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Control de versiones y tablas</w:t>
            </w:r>
          </w:p>
        </w:tc>
        <w:tc>
          <w:tcPr>
            <w:tcW w:type="dxa" w:w="6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 New Roman 8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imágenes pequeñas ocuparán, como referencia, hasta un octavo de página.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diagramas UML o de arquitectura podrán ocupar media página cuando necesiten más espacio para leerse.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 Símbolos y marcas visuales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✓ o ☑ — requisito obligatorio o punto ya verificado.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► — detalle que depende del punto anterior.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[ALTA] — función prioritaria o defecto que bloquea el avance.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[MEDIA] — elemento importante que puede atenderse dentro de la iteración.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[BAJA] — mejora opcional o ajuste visual.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Artefactos oficiales del proyecto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vamos a producir documentos solo para completar una lista. Cada artefacto responde a una pregunta concreta del proyecto y debe dejar una salida útil para la siguiente actividad. La tabla reúne los responsables y el contenido mínimo esperado.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00"/>
        <w:gridCol w:w="2500"/>
        <w:gridCol w:w="1400"/>
        <w:gridCol w:w="3373"/>
      </w:tblGrid>
      <w:tr>
        <w:trPr>
          <w:cantSplit/>
          <w:tblHeader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Artefacto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Acrónimo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Para qué lo usamos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Contenido mínimo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Estandarización de artefactos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EDOC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Acordar formato, nombres y reglas de control.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 / Equipo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Nomenclatura, versiones, formato, matriz y referencias.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Proceso de desarrollo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PDS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Explicar cómo trabajan P1 y P2 y cuándo se acepta una salida.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/ DAOJ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Procesos, subprocesos, criterios, roles, métricas e incidencias.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Procesos de negocio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DPN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Describir los procesos del negocio que atenderá el sistema.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Procesos, actores, reglas de negocio, excepciones y trazabilidad.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Alcance y prioridades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DAP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Definir hasta dónde llega el sistema y en qué orden se construye.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Alcance, exclusiones, prioridades, dependencias, riesgos y matriz.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Estructura de desglose de trabajo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EDT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Dividir el trabajo en tareas con responsable y estimación.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Fases, paquetes de trabajo, entregables y esfuerzo.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Cronograma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CRO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Programar actividades, fechas y encargados.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Matriz de fechas, semanas y asignación de roles.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Especificación de requisitos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SRS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Definir qué hará el programa de escritorio y cómo se comprobará.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Alcance, definiciones, RF, RNF y criterios de aceptación.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Casos de uso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CDU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Describir la interacción entre la persona usuaria y el programa.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Actores, condiciones, flujo principal, alternativas y resultado.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Mockups y pantallas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MCK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Mostrar y especificar las pantallas del programa.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Pantallas, componentes, estados y flujos de interacción.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Organizar componentes, interfaces y despliegue de la aplicación.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DAOJ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Visión, patrones, componentes, despliegue y decisiones técnicas.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de base de datos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DBD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Definir la estructura de la información persistente.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DER, tablas, relaciones y diccionario de datos.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Plan de pruebas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PPR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Acordar estrategia, ambiente y reglas de aceptación.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Objetivos, alcance, entorno, recursos, criterios y calendario.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Casos de prueba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CPR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Comprobar catálogo, lista de venta, compra, folio y instalación.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KTCG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ID, módulo, condiciones, datos, pasos y resultado esperado/obtenido.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Matriz de trazabilidad y control de cambios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MTR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Seguir cada requisito hasta su código y su prueba, y registrar los cambios.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 / KTCG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Matriz, cadena de trazabilidad y bitácora de cambios.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Manual técnico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MTE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Dejar instrucciones para instalar, configurar y mantener el programa.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Equipo de desarrollo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Requisitos, instalación, estructura, respaldo, recuperación y mantenimiento.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Manual de usuario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MUS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Explicar el uso cotidiano de la aplicación de escritorio.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Equipo del proyecto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Inicio, catálogo, venta, clientes, inventario, mensajes y preguntas frecuentes.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Informe postmortem</w:t>
            </w:r>
          </w:p>
        </w:tc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POS</w:t>
            </w:r>
          </w:p>
        </w:tc>
        <w:tc>
          <w:tcPr>
            <w:tcW w:type="dxa" w:w="2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Cerrar el ciclo y conservar lo aprendido.</w:t>
            </w:r>
          </w:p>
        </w:tc>
        <w:tc>
          <w:tcPr>
            <w:tcW w:type="dxa" w:w="1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Equipo del proyecto</w:t>
            </w:r>
          </w:p>
        </w:tc>
        <w:tc>
          <w:tcPr>
            <w:tcW w:type="dxa" w:w="33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Resultados, diferencias, problemas, decisiones y mejoras para otro ciclo.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Especificación de requisitos del programa de escritorio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SRS será la base para diseñar, programar y probar. Escribiremos cada requisito con un identificador estable y un criterio observable. Así podremos relacionarlo con casos de uso, componentes y pruebas sin cambiarle el nombre durante el proyecto.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Introducción y alcance del sistema.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Definiciones y acrónimos que realmente use el equipo.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Descripción general de las ventanas, los datos y el entorno de instalación.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Requisitos funcionales y no funcionales con criterios de aceptación.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requisitos siguientes son los generales del estándar. El detalle vigente, con sus módulos, subrequisitos, reglas de negocio y excepciones, está en el SRS del proyecto.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Requisitos funcionales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900"/>
        <w:gridCol w:w="3500"/>
        <w:gridCol w:w="30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3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 del catálogo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[ALTA]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Desde la ventana principal, el programa mostrará los productos disponibles con código, nombre, categoría, precio y existencia.</w:t>
            </w:r>
          </w:p>
        </w:tc>
        <w:tc>
          <w:tcPr>
            <w:tcW w:type="dxa" w:w="3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usuario consulta el catálogo completo sin registrarse ni iniciar sesión.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Administración de la lista de venta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[ALTA]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usuario podrá agregar productos, cambiar cantidades, retirar artículos y conocer el total de la compra.</w:t>
            </w:r>
          </w:p>
        </w:tc>
        <w:tc>
          <w:tcPr>
            <w:tcW w:type="dxa" w:w="3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total cambia de inmediato y conserva la precisión cada vez que se modifica la lista.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Compra y orden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[ALTA]</w:t>
            </w:r>
          </w:p>
        </w:tc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programa reunirá los datos de la venta y permitirá confirmar una compra; el sistema no realiza ningún cargo bancario.</w:t>
            </w:r>
          </w:p>
        </w:tc>
        <w:tc>
          <w:tcPr>
            <w:tcW w:type="dxa" w:w="3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 confirmar, valida los datos, registra la orden, vacía la lista y muestra un número único.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Requisitos no funcionales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000"/>
        <w:gridCol w:w="3473"/>
      </w:tblGrid>
      <w:tr>
        <w:trPr>
          <w:cantSplit/>
          <w:tblHeader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  <w:tc>
          <w:tcPr>
            <w:tcW w:type="dxa" w:w="4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RNF-01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Interfaz de escritorio</w:t>
            </w:r>
          </w:p>
        </w:tc>
        <w:tc>
          <w:tcPr>
            <w:tcW w:type="dxa" w:w="4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Las ventanas, textos, tablas y controles deben verse completos desde una resolución de 1366 × 768. El programa se manejará con teclado y mouse.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hay controles cortados ni desplazamiento horizontal en las ventanas principales.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RNF-02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 de datos</w:t>
            </w:r>
          </w:p>
        </w:tc>
        <w:tc>
          <w:tcPr>
            <w:tcW w:type="dxa" w:w="4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Antes de guardar o confirmar, el programa comprobará los campos obligatorios y los formatos esperados.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Si falta información o el formato es inválido, detiene la operación, explica el problema y señala el campo correspondiente.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RNF-03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Tiempo de respuesta</w:t>
            </w:r>
          </w:p>
        </w:tc>
        <w:tc>
          <w:tcPr>
            <w:tcW w:type="dxa" w:w="4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catálogo y el resumen de la lista deben abrirse o actualizarse con rapidez en el equipo de referencia, sin depender de Internet.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respuesta no supera 3 segundos en las funciones principales.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Modularidad</w:t>
            </w:r>
          </w:p>
        </w:tc>
        <w:tc>
          <w:tcPr>
            <w:tcW w:type="dxa" w:w="4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presentación, la lógica y los datos se mantendrán separados mediante componentes e interfaces definidas.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Puede añadirse un módulo sin modificar funciones que no están relacionadas.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RNF-05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Persistencia y recuperación</w:t>
            </w:r>
          </w:p>
        </w:tc>
        <w:tc>
          <w:tcPr>
            <w:tcW w:type="dxa" w:w="4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información permanecerá después de cerrar el programa y podrá respaldarse, recuperarse o migrarse de manera controlada.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Los datos conservan su integridad después del cierre, el respaldo y la recuperación.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Herramientas y referencias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Usaremos herramientas que el equipo ya conoce y guardaremos cada salida en un formato que pueda revisarse. La aplicación no dependerá de un navegador: se construirá, instalará y probará como programa de escritorio para Windows de 64 bits.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73"/>
      </w:tblGrid>
      <w:tr>
        <w:trPr>
          <w:cantSplit/>
          <w:tblHeader/>
        </w:trPr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Herramienta</w:t>
            </w:r>
          </w:p>
        </w:tc>
        <w:tc>
          <w:tcPr>
            <w:tcW w:type="dxa" w:w="6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Uso acordado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Microsoft Word</w:t>
            </w:r>
          </w:p>
        </w:tc>
        <w:tc>
          <w:tcPr>
            <w:tcW w:type="dxa" w:w="6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Documentos editables .docx y exportación oficial a PDF.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Microsoft Excel / TSPi</w:t>
            </w:r>
          </w:p>
        </w:tc>
        <w:tc>
          <w:tcPr>
            <w:tcW w:type="dxa" w:w="6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Estimaciones, control de tiempos, métricas y seguimiento.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StarUML / Draw.io</w:t>
            </w:r>
          </w:p>
        </w:tc>
        <w:tc>
          <w:tcPr>
            <w:tcW w:type="dxa" w:w="6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Diagramas UML, componentes, despliegue y modelo entidad-relación.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Git / GitHub</w:t>
            </w:r>
          </w:p>
        </w:tc>
        <w:tc>
          <w:tcPr>
            <w:tcW w:type="dxa" w:w="6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Control del código, documentación, etiquetas y líneas base.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 aprobado</w:t>
            </w:r>
          </w:p>
        </w:tc>
        <w:tc>
          <w:tcPr>
            <w:tcW w:type="dxa" w:w="6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Programación, depuración, generación del ejecutable y preparación del instalador.</w:t>
            </w:r>
          </w:p>
        </w:tc>
      </w:tr>
    </w:tbl>
    <w:p>
      <w:pPr>
        <w:spacing w:after="60" w:before="8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Tomaremos como apoyo IEEE 830 para la especificación de requisitos, ISO/IEC/IEEE 12207 para el ciclo de vida del software y las reglas internas de Empresa StockFlow.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Cuando actualicemos un artefacto, no cambiaremos únicamente la fecha. Revisaremos también su relación con requisitos, diseño, código y pruebas. Si el cambio afecta una línea base, deberá registrarse y pasar por la revisión de calidad correspondiente.</w:t>
      </w:r>
    </w:p>
    <w:sectPr>
      <w:headerReference w:type="default" r:id="rId7"/>
      <w:footerReference w:type="default" r:id="rId8"/>
      <w:pgSz w:w="12240" w:h="15840" w:orient="portrait"/>
      <w:pgMar w:top="1701" w:right="850" w:bottom="1134" w:left="1417" w:header="567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Página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de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STKD_EDOC_V1_1_291026.docx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86"/>
      <w:gridCol w:w="4787"/>
    </w:tblGrid>
    <w:tr>
      <w:tc>
        <w:tcPr>
          <w:tcW w:type="dxa" w:w="5186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drawing>
              <wp:inline distT="0" distB="0" distL="0" distR="0">
                <wp:extent cx="1143000" cy="342900"/>
                <wp:effectExtent t="0" r="0" b="0" l="0"/>
                <wp:docPr id="1" name="logo" descr="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before="40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Estandarización de Artefactos</w:t>
          </w:r>
        </w:p>
      </w:tc>
      <w:tc>
        <w:tcPr>
          <w:tcW w:type="dxa" w:w="4787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Sistema de Ventas de Aparatos Electrónicos de Escritorio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Ciclo: 1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Etapa: PLA</w:t>
          </w:r>
        </w:p>
      </w:tc>
    </w:tr>
  </w:tbl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8c560259798c0bda0e12130363aec867c1ad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Estandarización de Artefactos</dc:title>
  <dc:creator>StockFlow</dc:creator>
  <cp:lastModifiedBy>Un-named</cp:lastModifiedBy>
  <cp:revision>1</cp:revision>
  <dcterms:created xsi:type="dcterms:W3CDTF">2026-10-31T02:09:01.542Z</dcterms:created>
  <dcterms:modified xsi:type="dcterms:W3CDTF">2026-10-31T02:09:01.544Z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