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20"/>
        <w:jc w:val="center"/>
      </w:pPr>
      <w:r>
        <w:rPr>
          <w:rFonts w:ascii="Times New Roman" w:cs="Times New Roman" w:eastAsia="Times New Roman" w:hAnsi="Times New Roman"/>
          <w:b/>
          <w:bCs/>
          <w:caps/>
          <w:sz w:val="28"/>
          <w:szCs w:val="28"/>
        </w:rPr>
        <w:t xml:space="preserve">Documento de Especificación de Interfaz y Mockups de Pantallas</w:t>
      </w:r>
    </w:p>
    <w:p>
      <w:pPr>
        <w:spacing w:after="60" w:before="0" w:line="276"/>
        <w:jc w:val="center"/>
      </w:pPr>
      <w:r>
        <w:rPr>
          <w:rFonts w:ascii="Times New Roman" w:cs="Times New Roman" w:eastAsia="Times New Roman" w:hAnsi="Times New Roman"/>
          <w:b/>
          <w:bCs/>
          <w:sz w:val="24"/>
          <w:szCs w:val="24"/>
        </w:rPr>
        <w:t xml:space="preserve">Proyecto: Sistema de Ventas de Aparatos Electrónicos de Escritorio</w:t>
      </w:r>
    </w:p>
    <w:p>
      <w:pPr>
        <w:spacing w:after="60" w:before="0" w:line="276"/>
        <w:jc w:val="center"/>
      </w:pPr>
      <w:r>
        <w:rPr>
          <w:rFonts w:ascii="Times New Roman" w:cs="Times New Roman" w:eastAsia="Times New Roman" w:hAnsi="Times New Roman"/>
          <w:b/>
          <w:bCs/>
          <w:sz w:val="22"/>
          <w:szCs w:val="22"/>
        </w:rPr>
        <w:t xml:space="preserve">Empresa:</w:t>
      </w:r>
      <w:r>
        <w:rPr>
          <w:rFonts w:ascii="Times New Roman" w:cs="Times New Roman" w:eastAsia="Times New Roman" w:hAnsi="Times New Roman"/>
          <w:sz w:val="22"/>
          <w:szCs w:val="22"/>
        </w:rPr>
        <w:t xml:space="preserve"> Empresa StockFlow | </w:t>
      </w:r>
      <w:r>
        <w:rPr>
          <w:rFonts w:ascii="Times New Roman" w:cs="Times New Roman" w:eastAsia="Times New Roman" w:hAnsi="Times New Roman"/>
          <w:b/>
          <w:bCs/>
          <w:sz w:val="22"/>
          <w:szCs w:val="22"/>
        </w:rPr>
        <w:t xml:space="preserve">Ciclo:</w:t>
      </w:r>
      <w:r>
        <w:rPr>
          <w:rFonts w:ascii="Times New Roman" w:cs="Times New Roman" w:eastAsia="Times New Roman" w:hAnsi="Times New Roman"/>
          <w:sz w:val="22"/>
          <w:szCs w:val="22"/>
        </w:rPr>
        <w:t xml:space="preserve"> 1 | </w:t>
      </w:r>
      <w:r>
        <w:rPr>
          <w:rFonts w:ascii="Times New Roman" w:cs="Times New Roman" w:eastAsia="Times New Roman" w:hAnsi="Times New Roman"/>
          <w:b/>
          <w:bCs/>
          <w:sz w:val="22"/>
          <w:szCs w:val="22"/>
        </w:rPr>
        <w:t xml:space="preserve">Etapa:</w:t>
      </w:r>
      <w:r>
        <w:rPr>
          <w:rFonts w:ascii="Times New Roman" w:cs="Times New Roman" w:eastAsia="Times New Roman" w:hAnsi="Times New Roman"/>
          <w:sz w:val="22"/>
          <w:szCs w:val="22"/>
        </w:rPr>
        <w:t xml:space="preserve"> DIS | </w:t>
      </w:r>
      <w:r>
        <w:rPr>
          <w:rFonts w:ascii="Times New Roman" w:cs="Times New Roman" w:eastAsia="Times New Roman" w:hAnsi="Times New Roman"/>
          <w:b/>
          <w:bCs/>
          <w:sz w:val="22"/>
          <w:szCs w:val="22"/>
        </w:rPr>
        <w:t xml:space="preserve">Estado:</w:t>
      </w:r>
      <w:r>
        <w:rPr>
          <w:rFonts w:ascii="Times New Roman" w:cs="Times New Roman" w:eastAsia="Times New Roman" w:hAnsi="Times New Roman"/>
          <w:sz w:val="22"/>
          <w:szCs w:val="22"/>
        </w:rPr>
        <w:t xml:space="preserve"> [BORRADOR]</w:t>
      </w:r>
    </w:p>
    <w:p>
      <w:pPr>
        <w:spacing w:after="160" w:before="0" w:line="276"/>
        <w:jc w:val="center"/>
      </w:pPr>
      <w:r>
        <w:rPr>
          <w:rFonts w:ascii="Times New Roman" w:cs="Times New Roman" w:eastAsia="Times New Roman" w:hAnsi="Times New Roman"/>
          <w:b/>
          <w:bCs/>
          <w:sz w:val="22"/>
          <w:szCs w:val="22"/>
        </w:rPr>
        <w:t xml:space="preserve">Archivo oficial:</w:t>
      </w:r>
      <w:r>
        <w:rPr>
          <w:rFonts w:ascii="Times New Roman" w:cs="Times New Roman" w:eastAsia="Times New Roman" w:hAnsi="Times New Roman"/>
          <w:sz w:val="22"/>
          <w:szCs w:val="22"/>
        </w:rPr>
        <w:t xml:space="preserve"> STKD_MCK_V0_2_241026.docx | </w:t>
      </w:r>
      <w:r>
        <w:rPr>
          <w:rFonts w:ascii="Times New Roman" w:cs="Times New Roman" w:eastAsia="Times New Roman" w:hAnsi="Times New Roman"/>
          <w:b/>
          <w:bCs/>
          <w:sz w:val="22"/>
          <w:szCs w:val="22"/>
        </w:rPr>
        <w:t xml:space="preserve">Responsable:</w:t>
      </w:r>
      <w:r>
        <w:rPr>
          <w:rFonts w:ascii="Times New Roman" w:cs="Times New Roman" w:eastAsia="Times New Roman" w:hAnsi="Times New Roman"/>
          <w:sz w:val="22"/>
          <w:szCs w:val="22"/>
        </w:rPr>
        <w:t xml:space="preserve"> DAOJ</w:t>
      </w:r>
    </w:p>
    <w:p>
      <w:pPr>
        <w:pStyle w:val="Heading2"/>
        <w:keepNext/>
        <w:spacing w:after="80" w:before="160"/>
      </w:pPr>
      <w:r>
        <w:rPr>
          <w:rFonts w:ascii="Times New Roman" w:cs="Times New Roman" w:eastAsia="Times New Roman" w:hAnsi="Times New Roman"/>
          <w:b/>
          <w:bCs/>
          <w:sz w:val="24"/>
          <w:szCs w:val="24"/>
        </w:rPr>
        <w:t xml:space="preserve">Control de versiones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115"/>
        <w:gridCol w:w="1064"/>
        <w:gridCol w:w="1812"/>
        <w:gridCol w:w="774"/>
        <w:gridCol w:w="774"/>
        <w:gridCol w:w="774"/>
        <w:gridCol w:w="774"/>
        <w:gridCol w:w="943"/>
        <w:gridCol w:w="943"/>
      </w:tblGrid>
      <w:tr>
        <w:trPr>
          <w:cantSplit/>
          <w:tblHeader/>
        </w:trPr>
        <w:tc>
          <w:tcPr>
            <w:tcW w:type="dxa" w:w="2115"/>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Nombre</w:t>
            </w:r>
          </w:p>
        </w:tc>
        <w:tc>
          <w:tcPr>
            <w:tcW w:type="dxa" w:w="106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Fecha</w:t>
            </w:r>
          </w:p>
        </w:tc>
        <w:tc>
          <w:tcPr>
            <w:tcW w:type="dxa" w:w="1812"/>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Razón del cambio</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Autor</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Versión</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Hora Inicio</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Hora Fin</w:t>
            </w:r>
          </w:p>
        </w:tc>
        <w:tc>
          <w:tcPr>
            <w:tcW w:type="dxa" w:w="94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Tiempo Estimado</w:t>
            </w:r>
          </w:p>
        </w:tc>
        <w:tc>
          <w:tcPr>
            <w:tcW w:type="dxa" w:w="94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Tiempo Real</w:t>
            </w:r>
          </w:p>
        </w:tc>
      </w:tr>
      <w:tr>
        <w:trPr>
          <w:cantSplit/>
        </w:trPr>
        <w:tc>
          <w:tcPr>
            <w:tcW w:type="dxa" w:w="2115"/>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STKD_MCK_V0_1_270926.pdf</w:t>
            </w:r>
          </w:p>
        </w:tc>
        <w:tc>
          <w:tcPr>
            <w:tcW w:type="dxa" w:w="106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27-Sep-2026</w:t>
            </w:r>
          </w:p>
        </w:tc>
        <w:tc>
          <w:tcPr>
            <w:tcW w:type="dxa" w:w="1812"/>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Especificación de ubicación de interfaces, mapeo de componentes Swing, catálogo oficial de 10 productos, modal de cierre SCR-02 y ventana de éxito con folio SCR-03.</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DAOJ</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0.1</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18:00</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20:30</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150 min</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150 min</w:t>
            </w:r>
          </w:p>
        </w:tc>
      </w:tr>
      <w:tr>
        <w:trPr>
          <w:cantSplit/>
        </w:trPr>
        <w:tc>
          <w:tcPr>
            <w:tcW w:type="dxa" w:w="2115"/>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STKD_MCK_V0_2_241026.docx</w:t>
            </w:r>
          </w:p>
        </w:tc>
        <w:tc>
          <w:tcPr>
            <w:tcW w:type="dxa" w:w="106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24-Oct-2026</w:t>
            </w:r>
          </w:p>
        </w:tc>
        <w:tc>
          <w:tcPr>
            <w:tcW w:type="dxa" w:w="1812"/>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Incorporación de SCR-04 a SCR-07 (clientes y perfil del vendedor); ajuste de SCR-01 a SCR-03 (cliente opcional, factura y vendedor automático); corrección del catálogo a 10 productos y del cálculo de IVA (se suma al subtotal).</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DAOJ</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0.2</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94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180 min</w:t>
            </w:r>
          </w:p>
        </w:tc>
        <w:tc>
          <w:tcPr>
            <w:tcW w:type="dxa" w:w="94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Por registrar</w:t>
            </w:r>
          </w:p>
        </w:tc>
      </w:tr>
    </w:tbl>
    <w:p>
      <w:pPr>
        <w:spacing w:after="120" w:before="0"/>
      </w:pPr>
    </w:p>
    <w:p>
      <w:pPr>
        <w:pStyle w:val="Heading1"/>
        <w:keepNext/>
        <w:spacing w:after="100" w:before="240"/>
      </w:pPr>
      <w:r>
        <w:rPr>
          <w:rFonts w:ascii="Times New Roman" w:cs="Times New Roman" w:eastAsia="Times New Roman" w:hAnsi="Times New Roman"/>
          <w:b/>
          <w:bCs/>
          <w:sz w:val="28"/>
          <w:szCs w:val="28"/>
        </w:rPr>
        <w:t xml:space="preserve">1. Introducción</w:t>
      </w:r>
    </w:p>
    <w:p>
      <w:pPr>
        <w:spacing w:after="60" w:before="0" w:line="360"/>
        <w:jc w:val="both"/>
      </w:pPr>
      <w:r>
        <w:rPr>
          <w:rFonts w:ascii="Times New Roman" w:cs="Times New Roman" w:eastAsia="Times New Roman" w:hAnsi="Times New Roman"/>
          <w:sz w:val="24"/>
          <w:szCs w:val="24"/>
        </w:rPr>
        <w:t xml:space="preserve">En este documento se presenta la especificación detallada de la interfaz de usuario (UI) para el Sistema de Ventas de Aparatos Electrónicos de Escritorio (StockFlow). Esta propuesta parte de los requerimientos del SRS (STKD_SRS_V0_2_241026) y busca una interfaz rápida, clara y libre de distracciones para la atención presencial frente al mostrador. En esta versión se agregan las pantallas de gestión de clientes y del perfil del vendedor, y se ajustan las pantallas de venta para seleccionar un cliente opcional y marcar si se requiere factura.</w:t>
      </w:r>
    </w:p>
    <w:p>
      <w:pPr>
        <w:pStyle w:val="Heading2"/>
        <w:keepNext/>
        <w:spacing w:after="80" w:before="160"/>
      </w:pPr>
      <w:r>
        <w:rPr>
          <w:rFonts w:ascii="Times New Roman" w:cs="Times New Roman" w:eastAsia="Times New Roman" w:hAnsi="Times New Roman"/>
          <w:b/>
          <w:bCs/>
          <w:sz w:val="24"/>
          <w:szCs w:val="24"/>
        </w:rPr>
        <w:t xml:space="preserve">1.1 Ubicación y contexto de las pantallas en el sistema</w:t>
      </w:r>
    </w:p>
    <w:p>
      <w:pPr>
        <w:spacing w:after="60" w:before="0" w:line="360"/>
        <w:jc w:val="both"/>
      </w:pPr>
      <w:r>
        <w:rPr>
          <w:rFonts w:ascii="Times New Roman" w:cs="Times New Roman" w:eastAsia="Times New Roman" w:hAnsi="Times New Roman"/>
          <w:sz w:val="24"/>
          <w:szCs w:val="24"/>
        </w:rPr>
        <w:t xml:space="preserve">Las interfaces especificadas pertenecen a la Capa de Presentación (com.stockflow.vista) del módulo operativo de StockFlow POS.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Módulo del sistema:</w:t>
      </w:r>
      <w:r>
        <w:rPr>
          <w:rFonts w:ascii="Times New Roman" w:cs="Times New Roman" w:eastAsia="Times New Roman" w:hAnsi="Times New Roman"/>
          <w:sz w:val="24"/>
          <w:szCs w:val="24"/>
        </w:rPr>
        <w:t xml:space="preserve"> Punto de Venta (POS) / Ventas de mostrador, Clientes y Perfil del vendedor.</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Rol de usuario:</w:t>
      </w:r>
      <w:r>
        <w:rPr>
          <w:rFonts w:ascii="Times New Roman" w:cs="Times New Roman" w:eastAsia="Times New Roman" w:hAnsi="Times New Roman"/>
          <w:sz w:val="24"/>
          <w:szCs w:val="24"/>
        </w:rPr>
        <w:t xml:space="preserve"> Vendedor / Cajero (único usuario del sistema).</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Entorno operativo:</w:t>
      </w:r>
      <w:r>
        <w:rPr>
          <w:rFonts w:ascii="Times New Roman" w:cs="Times New Roman" w:eastAsia="Times New Roman" w:hAnsi="Times New Roman"/>
          <w:sz w:val="24"/>
          <w:szCs w:val="24"/>
        </w:rPr>
        <w:t xml:space="preserve"> aplicación de escritorio desarrollada en Java Swing para ejecución local en resolución 1366 × 768 píxeles.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Navegación principal:</w:t>
      </w:r>
      <w:r>
        <w:rPr>
          <w:rFonts w:ascii="Times New Roman" w:cs="Times New Roman" w:eastAsia="Times New Roman" w:hAnsi="Times New Roman"/>
          <w:sz w:val="24"/>
          <w:szCs w:val="24"/>
        </w:rPr>
        <w:t xml:space="preserve"> barra superior con tres secciones: Ventas (SCR-01), Clientes (SCR-04) y Vendedor (SCR-07).</w:t>
      </w:r>
    </w:p>
    <w:p>
      <w:pPr>
        <w:spacing w:after="20" w:before="0" w:line="360"/>
        <w:jc w:val="both"/>
      </w:pPr>
      <w:r>
        <w:rPr>
          <w:rFonts w:ascii="Times New Roman" w:cs="Times New Roman" w:eastAsia="Times New Roman" w:hAnsi="Times New Roman"/>
          <w:b/>
          <w:bCs/>
          <w:sz w:val="24"/>
          <w:szCs w:val="24"/>
        </w:rPr>
        <w:t xml:space="preserve">Secuencia y relación de pantallas: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SCR-01 (Pantalla principal de mostrador):</w:t>
      </w:r>
      <w:r>
        <w:rPr>
          <w:rFonts w:ascii="Times New Roman" w:cs="Times New Roman" w:eastAsia="Times New Roman" w:hAnsi="Times New Roman"/>
          <w:sz w:val="24"/>
          <w:szCs w:val="24"/>
        </w:rPr>
        <w:t xml:space="preserve"> interfaz principal (JFrame) para consulta de catálogo, selección de cantidades y armado de la lista de venta con subtotal, IVA (16%) y total; incluye selector de cliente opcional y casilla «Requiere factura».</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SCR-02 (Modal de cierre de venta):</w:t>
      </w:r>
      <w:r>
        <w:rPr>
          <w:rFonts w:ascii="Times New Roman" w:cs="Times New Roman" w:eastAsia="Times New Roman" w:hAnsi="Times New Roman"/>
          <w:sz w:val="24"/>
          <w:szCs w:val="24"/>
        </w:rPr>
        <w:t xml:space="preserve"> diálogo modal (JDialog) que bloquea SCR-01 para verificar vendedor, cliente, factura y montos finales antes de afectar la base de datos.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SCR-03 (Venta exitosa y folio):</w:t>
      </w:r>
      <w:r>
        <w:rPr>
          <w:rFonts w:ascii="Times New Roman" w:cs="Times New Roman" w:eastAsia="Times New Roman" w:hAnsi="Times New Roman"/>
          <w:sz w:val="24"/>
          <w:szCs w:val="24"/>
        </w:rPr>
        <w:t xml:space="preserve"> diálogo informativo mostrado tras confirmar en SCR-02; exhibe el folio único y reinicia la pantalla principal.</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SCR-04 (Lista de clientes):</w:t>
      </w:r>
      <w:r>
        <w:rPr>
          <w:rFonts w:ascii="Times New Roman" w:cs="Times New Roman" w:eastAsia="Times New Roman" w:hAnsi="Times New Roman"/>
          <w:sz w:val="24"/>
          <w:szCs w:val="24"/>
        </w:rPr>
        <w:t xml:space="preserve"> sección de Clientes con búsqueda, filtros por estado y tipo, y acciones sobre el cliente seleccionado.</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SCR-05 (Formulario de cliente):</w:t>
      </w:r>
      <w:r>
        <w:rPr>
          <w:rFonts w:ascii="Times New Roman" w:cs="Times New Roman" w:eastAsia="Times New Roman" w:hAnsi="Times New Roman"/>
          <w:sz w:val="24"/>
          <w:szCs w:val="24"/>
        </w:rPr>
        <w:t xml:space="preserve"> diálogo modal para alta o edición con validaciones en tiempo real.</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SCR-06 (Perfil del cliente):</w:t>
      </w:r>
      <w:r>
        <w:rPr>
          <w:rFonts w:ascii="Times New Roman" w:cs="Times New Roman" w:eastAsia="Times New Roman" w:hAnsi="Times New Roman"/>
          <w:sz w:val="24"/>
          <w:szCs w:val="24"/>
        </w:rPr>
        <w:t xml:space="preserve"> vista detallada con datos, fechas y consolidado de compras.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SCR-07 (Perfil del vendedor):</w:t>
      </w:r>
      <w:r>
        <w:rPr>
          <w:rFonts w:ascii="Times New Roman" w:cs="Times New Roman" w:eastAsia="Times New Roman" w:hAnsi="Times New Roman"/>
          <w:sz w:val="24"/>
          <w:szCs w:val="24"/>
        </w:rPr>
        <w:t xml:space="preserve"> sección para consultar y modificar los datos del único vendedor.</w:t>
      </w:r>
    </w:p>
    <w:p>
      <w:pPr>
        <w:pStyle w:val="Heading1"/>
        <w:keepNext/>
        <w:spacing w:after="100" w:before="240"/>
      </w:pPr>
      <w:r>
        <w:rPr>
          <w:rFonts w:ascii="Times New Roman" w:cs="Times New Roman" w:eastAsia="Times New Roman" w:hAnsi="Times New Roman"/>
          <w:b/>
          <w:bCs/>
          <w:sz w:val="28"/>
          <w:szCs w:val="28"/>
        </w:rPr>
        <w:t xml:space="preserve">2. Inventario de pantallas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4673"/>
        <w:gridCol w:w="2800"/>
      </w:tblGrid>
      <w:tr>
        <w:trPr>
          <w:cantSplit/>
          <w:tblHeader/>
        </w:trPr>
        <w:tc>
          <w:tcPr>
            <w:tcW w:type="dxa" w:w="8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w:t>
            </w:r>
          </w:p>
        </w:tc>
        <w:tc>
          <w:tcPr>
            <w:tcW w:type="dxa" w:w="17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Nombre de pantalla</w:t>
            </w:r>
          </w:p>
        </w:tc>
        <w:tc>
          <w:tcPr>
            <w:tcW w:type="dxa" w:w="46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Propósito principal</w:t>
            </w:r>
          </w:p>
        </w:tc>
        <w:tc>
          <w:tcPr>
            <w:tcW w:type="dxa" w:w="28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Requisitos asociados</w:t>
            </w:r>
          </w:p>
        </w:tc>
      </w:tr>
      <w:tr>
        <w:trPr>
          <w:cantSplit/>
        </w:trPr>
        <w:tc>
          <w:tcPr>
            <w:tcW w:type="dxa" w:w="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SCR-01</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Pantalla principal de mostrador</w:t>
            </w:r>
          </w:p>
        </w:tc>
        <w:tc>
          <w:tcPr>
            <w:tcW w:type="dxa" w:w="46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Consultar el catálogo (10 productos), filtrar por categoría, seleccionar cantidades, elegir cliente opcional, marcar factura y preparar la lista de venta con IVA (16%).</w:t>
            </w:r>
          </w:p>
        </w:tc>
        <w:tc>
          <w:tcPr>
            <w:tcW w:type="dxa" w:w="2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RF-01.1, RF-01.2, RF-02.1, RF-02.2, RF-04.1, RNF-01</w:t>
            </w:r>
          </w:p>
        </w:tc>
      </w:tr>
      <w:tr>
        <w:trPr>
          <w:cantSplit/>
        </w:trPr>
        <w:tc>
          <w:tcPr>
            <w:tcW w:type="dxa" w:w="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SCR-02</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Modal de cierre</w:t>
            </w:r>
          </w:p>
        </w:tc>
        <w:tc>
          <w:tcPr>
            <w:tcW w:type="dxa" w:w="46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Presentar vendedor, cliente, factura y desglose final con IVA; verificar datos fiscales y solicitar la confirmación.</w:t>
            </w:r>
          </w:p>
        </w:tc>
        <w:tc>
          <w:tcPr>
            <w:tcW w:type="dxa" w:w="2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RF-03.1, RF-03.2, RF-05.2, RN-12, EX-06, RNF-03</w:t>
            </w:r>
          </w:p>
        </w:tc>
      </w:tr>
      <w:tr>
        <w:trPr>
          <w:cantSplit/>
        </w:trPr>
        <w:tc>
          <w:tcPr>
            <w:tcW w:type="dxa" w:w="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SCR-03</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Venta exitosa y folio</w:t>
            </w:r>
          </w:p>
        </w:tc>
        <w:tc>
          <w:tcPr>
            <w:tcW w:type="dxa" w:w="46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Confirmar la persistencia atómica en BD local, exhibir el folio consecutivo (STKD-2026-0042) y resetear la interfaz de ventas.</w:t>
            </w:r>
          </w:p>
        </w:tc>
        <w:tc>
          <w:tcPr>
            <w:tcW w:type="dxa" w:w="2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RF-03.3, RNF-03, RN-05</w:t>
            </w:r>
          </w:p>
        </w:tc>
      </w:tr>
      <w:tr>
        <w:trPr>
          <w:cantSplit/>
        </w:trPr>
        <w:tc>
          <w:tcPr>
            <w:tcW w:type="dxa" w:w="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SCR-04</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Lista de clientes</w:t>
            </w:r>
          </w:p>
        </w:tc>
        <w:tc>
          <w:tcPr>
            <w:tcW w:type="dxa" w:w="46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Mostrar la lista general, buscar por nombre, código o teléfono, segmentar por estado y tipo, y cambiar el estado del cliente.</w:t>
            </w:r>
          </w:p>
        </w:tc>
        <w:tc>
          <w:tcPr>
            <w:tcW w:type="dxa" w:w="2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RF-04.4, RF-04.6, RF-04.7, RF-04.8, RNF-09</w:t>
            </w:r>
          </w:p>
        </w:tc>
      </w:tr>
      <w:tr>
        <w:trPr>
          <w:cantSplit/>
        </w:trPr>
        <w:tc>
          <w:tcPr>
            <w:tcW w:type="dxa" w:w="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SCR-05</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Formulario de cliente</w:t>
            </w:r>
          </w:p>
        </w:tc>
        <w:tc>
          <w:tcPr>
            <w:tcW w:type="dxa" w:w="46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Registrar o actualizar clientes validando datos críticos y duplicidad de RFC y correo en tiempo real.</w:t>
            </w:r>
          </w:p>
        </w:tc>
        <w:tc>
          <w:tcPr>
            <w:tcW w:type="dxa" w:w="2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RF-04.1, RF-04.2, RF-04.3, RF-04.5, EX-04, EX-05</w:t>
            </w:r>
          </w:p>
        </w:tc>
      </w:tr>
      <w:tr>
        <w:trPr>
          <w:cantSplit/>
        </w:trPr>
        <w:tc>
          <w:tcPr>
            <w:tcW w:type="dxa" w:w="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SCR-06</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Perfil del cliente</w:t>
            </w:r>
          </w:p>
        </w:tc>
        <w:tc>
          <w:tcPr>
            <w:tcW w:type="dxa" w:w="46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Mostrar los datos completos, fechas de registro y modificación, y el consolidado de compras.</w:t>
            </w:r>
          </w:p>
        </w:tc>
        <w:tc>
          <w:tcPr>
            <w:tcW w:type="dxa" w:w="2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RF-04.4, RF-04.9</w:t>
            </w:r>
          </w:p>
        </w:tc>
      </w:tr>
      <w:tr>
        <w:trPr>
          <w:cantSplit/>
        </w:trPr>
        <w:tc>
          <w:tcPr>
            <w:tcW w:type="dxa" w:w="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SCR-07</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Perfil del vendedor</w:t>
            </w:r>
          </w:p>
        </w:tc>
        <w:tc>
          <w:tcPr>
            <w:tcW w:type="dxa" w:w="46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Consultar y editar nombre, apellido y edad del vendedor; mostrar la fecha de última modificación.</w:t>
            </w:r>
          </w:p>
        </w:tc>
        <w:tc>
          <w:tcPr>
            <w:tcW w:type="dxa" w:w="2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RF-05.1, RF-05.2, RN-11, EX-04</w:t>
            </w:r>
          </w:p>
        </w:tc>
      </w:tr>
    </w:tbl>
    <w:p>
      <w:pPr>
        <w:pStyle w:val="Heading1"/>
        <w:keepNext/>
        <w:spacing w:after="100" w:before="240"/>
      </w:pPr>
      <w:r>
        <w:rPr>
          <w:rFonts w:ascii="Times New Roman" w:cs="Times New Roman" w:eastAsia="Times New Roman" w:hAnsi="Times New Roman"/>
          <w:b/>
          <w:bCs/>
          <w:sz w:val="28"/>
          <w:szCs w:val="28"/>
        </w:rPr>
        <w:t xml:space="preserve">3. Catálogo oficial del sistema para mockups (SCR-01)</w:t>
      </w:r>
    </w:p>
    <w:p>
      <w:pPr>
        <w:spacing w:after="60" w:before="0" w:line="360"/>
        <w:jc w:val="both"/>
      </w:pPr>
      <w:r>
        <w:rPr>
          <w:rFonts w:ascii="Times New Roman" w:cs="Times New Roman" w:eastAsia="Times New Roman" w:hAnsi="Times New Roman"/>
          <w:sz w:val="24"/>
          <w:szCs w:val="24"/>
        </w:rPr>
        <w:t xml:space="preserve">Para representar de manera realista la consulta de inventario se incorporó el catálogo inicial de 10 productos, estructurado en tres categorías (Periféricos, Almacenamiento, y Accesorios y conectividad). El mismo catálogo se usa en todas las pantallas y en el MTR.</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2573"/>
        <w:gridCol w:w="1700"/>
        <w:gridCol w:w="1400"/>
      </w:tblGrid>
      <w:tr>
        <w:trPr>
          <w:cantSplit/>
          <w:tblHeader/>
        </w:trPr>
        <w:tc>
          <w:tcPr>
            <w:tcW w:type="dxa" w:w="13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Código</w:t>
            </w:r>
          </w:p>
        </w:tc>
        <w:tc>
          <w:tcPr>
            <w:tcW w:type="dxa" w:w="3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Producto</w:t>
            </w:r>
          </w:p>
        </w:tc>
        <w:tc>
          <w:tcPr>
            <w:tcW w:type="dxa" w:w="25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Categoría</w:t>
            </w:r>
          </w:p>
        </w:tc>
        <w:tc>
          <w:tcPr>
            <w:tcW w:type="dxa" w:w="17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Precio (MXN)</w:t>
            </w:r>
          </w:p>
        </w:tc>
        <w:tc>
          <w:tcPr>
            <w:tcW w:type="dxa" w:w="14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Existencias</w:t>
            </w:r>
          </w:p>
        </w:tc>
      </w:tr>
      <w:tr>
        <w:trPr>
          <w:cantSplit/>
        </w:trPr>
        <w:tc>
          <w:tcPr>
            <w:tcW w:type="dxa" w:w="13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PER-001</w:t>
            </w:r>
          </w:p>
        </w:tc>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Teclado mecánico RGB</w:t>
            </w:r>
          </w:p>
        </w:tc>
        <w:tc>
          <w:tcPr>
            <w:tcW w:type="dxa" w:w="25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Periféricos</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$850.00</w:t>
            </w:r>
          </w:p>
        </w:tc>
        <w:tc>
          <w:tcPr>
            <w:tcW w:type="dxa" w:w="14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12</w:t>
            </w:r>
          </w:p>
        </w:tc>
      </w:tr>
      <w:tr>
        <w:trPr>
          <w:cantSplit/>
        </w:trPr>
        <w:tc>
          <w:tcPr>
            <w:tcW w:type="dxa" w:w="13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PER-003</w:t>
            </w:r>
          </w:p>
        </w:tc>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Mouse inalámbrico</w:t>
            </w:r>
          </w:p>
        </w:tc>
        <w:tc>
          <w:tcPr>
            <w:tcW w:type="dxa" w:w="25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Periféricos</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$250.00</w:t>
            </w:r>
          </w:p>
        </w:tc>
        <w:tc>
          <w:tcPr>
            <w:tcW w:type="dxa" w:w="14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20</w:t>
            </w:r>
          </w:p>
        </w:tc>
      </w:tr>
      <w:tr>
        <w:trPr>
          <w:cantSplit/>
        </w:trPr>
        <w:tc>
          <w:tcPr>
            <w:tcW w:type="dxa" w:w="13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PER-007</w:t>
            </w:r>
          </w:p>
        </w:tc>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Cámara web Full HD</w:t>
            </w:r>
          </w:p>
        </w:tc>
        <w:tc>
          <w:tcPr>
            <w:tcW w:type="dxa" w:w="25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Periféricos</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$720.00</w:t>
            </w:r>
          </w:p>
        </w:tc>
        <w:tc>
          <w:tcPr>
            <w:tcW w:type="dxa" w:w="14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6</w:t>
            </w:r>
          </w:p>
        </w:tc>
      </w:tr>
      <w:tr>
        <w:trPr>
          <w:cantSplit/>
        </w:trPr>
        <w:tc>
          <w:tcPr>
            <w:tcW w:type="dxa" w:w="13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ALM-002</w:t>
            </w:r>
          </w:p>
        </w:tc>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Memoria USB 64 GB</w:t>
            </w:r>
          </w:p>
        </w:tc>
        <w:tc>
          <w:tcPr>
            <w:tcW w:type="dxa" w:w="25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Almacenamiento</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$180.00</w:t>
            </w:r>
          </w:p>
        </w:tc>
        <w:tc>
          <w:tcPr>
            <w:tcW w:type="dxa" w:w="14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25</w:t>
            </w:r>
          </w:p>
        </w:tc>
      </w:tr>
      <w:tr>
        <w:trPr>
          <w:cantSplit/>
        </w:trPr>
        <w:tc>
          <w:tcPr>
            <w:tcW w:type="dxa" w:w="13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ALM-007</w:t>
            </w:r>
          </w:p>
        </w:tc>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SSD SATA 480 GB</w:t>
            </w:r>
          </w:p>
        </w:tc>
        <w:tc>
          <w:tcPr>
            <w:tcW w:type="dxa" w:w="25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Almacenamiento</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$690.00</w:t>
            </w:r>
          </w:p>
        </w:tc>
        <w:tc>
          <w:tcPr>
            <w:tcW w:type="dxa" w:w="14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8</w:t>
            </w:r>
          </w:p>
        </w:tc>
      </w:tr>
      <w:tr>
        <w:trPr>
          <w:cantSplit/>
        </w:trPr>
        <w:tc>
          <w:tcPr>
            <w:tcW w:type="dxa" w:w="13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ALM-009</w:t>
            </w:r>
          </w:p>
        </w:tc>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Disco duro externo 1 TB</w:t>
            </w:r>
          </w:p>
        </w:tc>
        <w:tc>
          <w:tcPr>
            <w:tcW w:type="dxa" w:w="25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Almacenamiento</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$1,250.00</w:t>
            </w:r>
          </w:p>
        </w:tc>
        <w:tc>
          <w:tcPr>
            <w:tcW w:type="dxa" w:w="14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5</w:t>
            </w:r>
          </w:p>
        </w:tc>
      </w:tr>
      <w:tr>
        <w:trPr>
          <w:cantSplit/>
        </w:trPr>
        <w:tc>
          <w:tcPr>
            <w:tcW w:type="dxa" w:w="13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ACC-001</w:t>
            </w:r>
          </w:p>
        </w:tc>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Cable HDMI 2 metros</w:t>
            </w:r>
          </w:p>
        </w:tc>
        <w:tc>
          <w:tcPr>
            <w:tcW w:type="dxa" w:w="25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Accesorios y conectividad</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$150.00</w:t>
            </w:r>
          </w:p>
        </w:tc>
        <w:tc>
          <w:tcPr>
            <w:tcW w:type="dxa" w:w="14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20</w:t>
            </w:r>
          </w:p>
        </w:tc>
      </w:tr>
      <w:tr>
        <w:trPr>
          <w:cantSplit/>
        </w:trPr>
        <w:tc>
          <w:tcPr>
            <w:tcW w:type="dxa" w:w="13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ACC-003</w:t>
            </w:r>
          </w:p>
        </w:tc>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Adaptador USB-C a HDMI</w:t>
            </w:r>
          </w:p>
        </w:tc>
        <w:tc>
          <w:tcPr>
            <w:tcW w:type="dxa" w:w="25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Accesorios y conectividad</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$350.00</w:t>
            </w:r>
          </w:p>
        </w:tc>
        <w:tc>
          <w:tcPr>
            <w:tcW w:type="dxa" w:w="14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12</w:t>
            </w:r>
          </w:p>
        </w:tc>
      </w:tr>
      <w:tr>
        <w:trPr>
          <w:cantSplit/>
        </w:trPr>
        <w:tc>
          <w:tcPr>
            <w:tcW w:type="dxa" w:w="13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ACC-004</w:t>
            </w:r>
          </w:p>
        </w:tc>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Hub USB de 4 puertos</w:t>
            </w:r>
          </w:p>
        </w:tc>
        <w:tc>
          <w:tcPr>
            <w:tcW w:type="dxa" w:w="25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Accesorios y conectividad</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$290.00</w:t>
            </w:r>
          </w:p>
        </w:tc>
        <w:tc>
          <w:tcPr>
            <w:tcW w:type="dxa" w:w="14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10</w:t>
            </w:r>
          </w:p>
        </w:tc>
      </w:tr>
      <w:tr>
        <w:trPr>
          <w:cantSplit/>
        </w:trPr>
        <w:tc>
          <w:tcPr>
            <w:tcW w:type="dxa" w:w="13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ACC-010</w:t>
            </w:r>
          </w:p>
        </w:tc>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Soporte ajustable para laptop</w:t>
            </w:r>
          </w:p>
        </w:tc>
        <w:tc>
          <w:tcPr>
            <w:tcW w:type="dxa" w:w="25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Accesorios y conectividad</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$320.00</w:t>
            </w:r>
          </w:p>
        </w:tc>
        <w:tc>
          <w:tcPr>
            <w:tcW w:type="dxa" w:w="14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w:t>
            </w:r>
          </w:p>
        </w:tc>
      </w:tr>
    </w:tbl>
    <w:p>
      <w:pPr>
        <w:spacing w:after="60" w:before="80" w:line="360"/>
        <w:jc w:val="both"/>
      </w:pPr>
      <w:r>
        <w:rPr>
          <w:rFonts w:ascii="Times New Roman" w:cs="Times New Roman" w:eastAsia="Times New Roman" w:hAnsi="Times New Roman"/>
          <w:b/>
          <w:bCs/>
          <w:sz w:val="24"/>
          <w:szCs w:val="24"/>
        </w:rPr>
        <w:t xml:space="preserve">Nota de diseño:</w:t>
      </w:r>
      <w:r>
        <w:rPr>
          <w:rFonts w:ascii="Times New Roman" w:cs="Times New Roman" w:eastAsia="Times New Roman" w:hAnsi="Times New Roman"/>
          <w:sz w:val="24"/>
          <w:szCs w:val="24"/>
        </w:rPr>
        <w:t xml:space="preserve"> los precios del catálogo son precios base sin IVA. El IVA (16%) se calcula sobre el subtotal y se suma para obtener el total. La tabla usa un contenedor de desplazamiento vertical (JScrollPane) y, en la parte superior, la caja de búsqueda dinámica (txtBusqueda) y el menú desplegable de categoría (cmbCategoria). Los datos de vendedor y clientes mostrados en las imágenes son ilustrativos.</w:t>
      </w:r>
    </w:p>
    <w:p>
      <w:pPr>
        <w:pStyle w:val="Heading2"/>
        <w:keepNext/>
        <w:spacing w:after="80" w:before="160"/>
      </w:pPr>
      <w:r>
        <w:rPr>
          <w:rFonts w:ascii="Times New Roman" w:cs="Times New Roman" w:eastAsia="Times New Roman" w:hAnsi="Times New Roman"/>
          <w:b/>
          <w:bCs/>
          <w:sz w:val="24"/>
          <w:szCs w:val="24"/>
        </w:rPr>
        <w:t xml:space="preserve">3.1 SCR-01 Pantalla principal de mostrador</w:t>
      </w:r>
    </w:p>
    <w:p>
      <w:pPr>
        <w:spacing w:after="60" w:before="60"/>
        <w:jc w:val="center"/>
      </w:pPr>
      <w:r>
        <w:drawing>
          <wp:inline distT="0" distB="0" distL="0" distR="0">
            <wp:extent cx="5943600" cy="3343275"/>
            <wp:effectExtent t="0" r="0" b="0" l="0"/>
            <wp:docPr id="1" name="SCR-01" descr="SCR-01" titl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1. Pantalla principal (SCR-01) con venta sin cliente asociado («Público en general»).</w:t>
      </w:r>
    </w:p>
    <w:p>
      <w:pPr>
        <w:spacing w:after="60" w:before="60"/>
        <w:jc w:val="center"/>
      </w:pPr>
      <w:r>
        <w:drawing>
          <wp:inline distT="0" distB="0" distL="0" distR="0">
            <wp:extent cx="5943600" cy="3343275"/>
            <wp:effectExtent t="0" r="0" b="0" l="0"/>
            <wp:docPr id="1" name="SCR-01 con cliente" descr="SCR-01 con cliente" title="SCR-01 con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2. SCR-01 con cliente seleccionado y casilla «Requiere factura» activa.</w:t>
      </w:r>
    </w:p>
    <w:p>
      <w:pPr>
        <w:spacing w:after="60" w:before="60"/>
        <w:jc w:val="center"/>
      </w:pPr>
      <w:r>
        <w:drawing>
          <wp:inline distT="0" distB="0" distL="0" distR="0">
            <wp:extent cx="5943600" cy="3343275"/>
            <wp:effectExtent t="0" r="0" b="0" l="0"/>
            <wp:docPr id="1" name="SCR-01 alerta stock" descr="SCR-01 alerta stock" title="SCR-01 alerta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3. SCR-01 con la alerta EX-01: la cantidad supera el stock y el botón Agregar se bloquea.</w:t>
      </w:r>
    </w:p>
    <w:p>
      <w:pPr>
        <w:pStyle w:val="Heading2"/>
        <w:keepNext/>
        <w:spacing w:after="80" w:before="160"/>
      </w:pPr>
      <w:r>
        <w:rPr>
          <w:rFonts w:ascii="Times New Roman" w:cs="Times New Roman" w:eastAsia="Times New Roman" w:hAnsi="Times New Roman"/>
          <w:b/>
          <w:bCs/>
          <w:sz w:val="24"/>
          <w:szCs w:val="24"/>
        </w:rPr>
        <w:t xml:space="preserve">3.2 SCR-02 Ventana modal de cierre de venta</w:t>
      </w:r>
    </w:p>
    <w:p>
      <w:pPr>
        <w:spacing w:after="60" w:before="60"/>
        <w:jc w:val="center"/>
      </w:pPr>
      <w:r>
        <w:drawing>
          <wp:inline distT="0" distB="0" distL="0" distR="0">
            <wp:extent cx="5943600" cy="3343275"/>
            <wp:effectExtent t="0" r="0" b="0" l="0"/>
            <wp:docPr id="1" name="SCR-02" descr="SCR-02" titl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4. Modal de cierre (SCR-02): vendedor registrado, cliente, factura, resumen de partidas, IVA (16%) y total.</w:t>
      </w:r>
    </w:p>
    <w:p>
      <w:pPr>
        <w:spacing w:after="60" w:before="60"/>
        <w:jc w:val="center"/>
      </w:pPr>
      <w:r>
        <w:drawing>
          <wp:inline distT="0" distB="0" distL="0" distR="0">
            <wp:extent cx="5943600" cy="3343275"/>
            <wp:effectExtent t="0" r="0" b="0" l="0"/>
            <wp:docPr id="1" name="SCR-02 EX-06" descr="SCR-02 EX-06" title="SCR-02 EX-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5. SCR-02 con la excepción EX-06: se solicitó factura pero el cliente no tiene RFC; el botón de registro permanece bloqueado.</w:t>
      </w:r>
    </w:p>
    <w:p>
      <w:pPr>
        <w:pStyle w:val="Heading2"/>
        <w:keepNext/>
        <w:spacing w:after="80" w:before="160"/>
      </w:pPr>
      <w:r>
        <w:rPr>
          <w:rFonts w:ascii="Times New Roman" w:cs="Times New Roman" w:eastAsia="Times New Roman" w:hAnsi="Times New Roman"/>
          <w:b/>
          <w:bCs/>
          <w:sz w:val="24"/>
          <w:szCs w:val="24"/>
        </w:rPr>
        <w:t xml:space="preserve">3.3 SCR-03 Venta exitosa y folio asignado</w:t>
      </w:r>
    </w:p>
    <w:p>
      <w:pPr>
        <w:spacing w:after="60" w:before="60"/>
        <w:jc w:val="center"/>
      </w:pPr>
      <w:r>
        <w:drawing>
          <wp:inline distT="0" distB="0" distL="0" distR="0">
            <wp:extent cx="5943600" cy="3343275"/>
            <wp:effectExtent t="0" r="0" b="0" l="0"/>
            <wp:docPr id="1" name="SCR-03" descr="SCR-03" titl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6. Ventana de venta exitosa (SCR-03) con el folio único consecutivo STKD-2026-0042.</w:t>
      </w:r>
    </w:p>
    <w:p>
      <w:pPr>
        <w:pStyle w:val="Heading2"/>
        <w:keepNext/>
        <w:spacing w:after="80" w:before="160"/>
      </w:pPr>
      <w:r>
        <w:rPr>
          <w:rFonts w:ascii="Times New Roman" w:cs="Times New Roman" w:eastAsia="Times New Roman" w:hAnsi="Times New Roman"/>
          <w:b/>
          <w:bCs/>
          <w:sz w:val="24"/>
          <w:szCs w:val="24"/>
        </w:rPr>
        <w:t xml:space="preserve">3.4 SCR-04 Lista de clientes</w:t>
      </w:r>
    </w:p>
    <w:p>
      <w:pPr>
        <w:spacing w:after="60" w:before="60"/>
        <w:jc w:val="center"/>
      </w:pPr>
      <w:r>
        <w:drawing>
          <wp:inline distT="0" distB="0" distL="0" distR="0">
            <wp:extent cx="5943600" cy="3343275"/>
            <wp:effectExtent t="0" r="0" b="0" l="0"/>
            <wp:docPr id="1" name="SCR-04" descr="SCR-04" titl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7. Lista general de clientes (SCR-04) con búsqueda, filtros por estado y tipo, y acciones.</w:t>
      </w:r>
    </w:p>
    <w:p>
      <w:pPr>
        <w:pStyle w:val="Heading2"/>
        <w:keepNext/>
        <w:spacing w:after="80" w:before="160"/>
      </w:pPr>
      <w:r>
        <w:rPr>
          <w:rFonts w:ascii="Times New Roman" w:cs="Times New Roman" w:eastAsia="Times New Roman" w:hAnsi="Times New Roman"/>
          <w:b/>
          <w:bCs/>
          <w:sz w:val="24"/>
          <w:szCs w:val="24"/>
        </w:rPr>
        <w:t xml:space="preserve">3.5 SCR-05 Formulario de cliente</w:t>
      </w:r>
    </w:p>
    <w:p>
      <w:pPr>
        <w:spacing w:after="60" w:before="60"/>
        <w:jc w:val="center"/>
      </w:pPr>
      <w:r>
        <w:drawing>
          <wp:inline distT="0" distB="0" distL="0" distR="0">
            <wp:extent cx="5943600" cy="3343275"/>
            <wp:effectExtent t="0" r="0" b="0" l="0"/>
            <wp:docPr id="1" name="SCR-05" descr="SCR-05" title="SC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8. Formulario de cliente (SCR-05) con la excepción EX-05: RFC y correo duplicados; Guardar permanece deshabilitado.</w:t>
      </w:r>
    </w:p>
    <w:p>
      <w:pPr>
        <w:pStyle w:val="Heading2"/>
        <w:keepNext/>
        <w:spacing w:after="80" w:before="160"/>
      </w:pPr>
      <w:r>
        <w:rPr>
          <w:rFonts w:ascii="Times New Roman" w:cs="Times New Roman" w:eastAsia="Times New Roman" w:hAnsi="Times New Roman"/>
          <w:b/>
          <w:bCs/>
          <w:sz w:val="24"/>
          <w:szCs w:val="24"/>
        </w:rPr>
        <w:t xml:space="preserve">3.6 SCR-06 Perfil del cliente</w:t>
      </w:r>
    </w:p>
    <w:p>
      <w:pPr>
        <w:spacing w:after="60" w:before="60"/>
        <w:jc w:val="center"/>
      </w:pPr>
      <w:r>
        <w:drawing>
          <wp:inline distT="0" distB="0" distL="0" distR="0">
            <wp:extent cx="5943600" cy="3343275"/>
            <wp:effectExtent t="0" r="0" b="0" l="0"/>
            <wp:docPr id="1" name="SCR-06" descr="SCR-06" title="SC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9. Perfil del cliente (SCR-06) con datos, fechas y consolidado de compras.</w:t>
      </w:r>
    </w:p>
    <w:p>
      <w:pPr>
        <w:pStyle w:val="Heading2"/>
        <w:keepNext/>
        <w:spacing w:after="80" w:before="160"/>
      </w:pPr>
      <w:r>
        <w:rPr>
          <w:rFonts w:ascii="Times New Roman" w:cs="Times New Roman" w:eastAsia="Times New Roman" w:hAnsi="Times New Roman"/>
          <w:b/>
          <w:bCs/>
          <w:sz w:val="24"/>
          <w:szCs w:val="24"/>
        </w:rPr>
        <w:t xml:space="preserve">3.7 SCR-07 Perfil del vendedor</w:t>
      </w:r>
    </w:p>
    <w:p>
      <w:pPr>
        <w:spacing w:after="60" w:before="60"/>
        <w:jc w:val="center"/>
      </w:pPr>
      <w:r>
        <w:drawing>
          <wp:inline distT="0" distB="0" distL="0" distR="0">
            <wp:extent cx="5943600" cy="3343275"/>
            <wp:effectExtent t="0" r="0" b="0" l="0"/>
            <wp:docPr id="1" name="SCR-07" descr="SCR-07" title="SCR-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10. Perfil del vendedor (SCR-07): datos editables y fecha de última modificación.</w:t>
      </w:r>
    </w:p>
    <w:p>
      <w:pPr>
        <w:pStyle w:val="Heading1"/>
        <w:keepNext/>
        <w:spacing w:after="100" w:before="240"/>
      </w:pPr>
      <w:r>
        <w:rPr>
          <w:rFonts w:ascii="Times New Roman" w:cs="Times New Roman" w:eastAsia="Times New Roman" w:hAnsi="Times New Roman"/>
          <w:b/>
          <w:bCs/>
          <w:sz w:val="28"/>
          <w:szCs w:val="28"/>
        </w:rPr>
        <w:t xml:space="preserve">4. Componentes de la interfaz e implementación en Java Swing</w:t>
      </w:r>
    </w:p>
    <w:p>
      <w:pPr>
        <w:pStyle w:val="Heading2"/>
        <w:keepNext/>
        <w:spacing w:after="80" w:before="160"/>
      </w:pPr>
      <w:r>
        <w:rPr>
          <w:rFonts w:ascii="Times New Roman" w:cs="Times New Roman" w:eastAsia="Times New Roman" w:hAnsi="Times New Roman"/>
          <w:b/>
          <w:bCs/>
          <w:sz w:val="24"/>
          <w:szCs w:val="24"/>
        </w:rPr>
        <w:t xml:space="preserve">4.1 Pantalla principal (SCR-01)</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40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Identificador (variable Java)</w:t>
            </w:r>
          </w:p>
        </w:tc>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Tipo de componente Swing</w:t>
            </w:r>
          </w:p>
        </w:tc>
        <w:tc>
          <w:tcPr>
            <w:tcW w:type="dxa" w:w="1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Texto / valor inicial</w:t>
            </w:r>
          </w:p>
        </w:tc>
        <w:tc>
          <w:tcPr>
            <w:tcW w:type="dxa" w:w="40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función en Java</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txtBusqueda</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(vacío)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Búsqueda en tiempo real: escucha eventos (DocumentListener) para filtrar el catálogo por código o nombre (RF-01.2).</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cmbCategoria</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JComboBox&lt;String&gt;</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"Todas"</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Filtra el catálogo por Periféricos, Almacenamiento o Accesorios y conectividad (RF-01.2).</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tblCatalogo</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JTable</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DefaultTableModel</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Renderiza las columnas Código, Nombre, Categoría, Precio y Stock; no editable (RF-01.1).</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spnCantidad</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JSpinner</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 (mín. 1, máx. stock)</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SpinnerNumberModel(1, 1, stockMax, 1) para garantizar enteros mayores a cero (RN-01).</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lblAlertaStock</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(oculto)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texto en rojo cuando la cantidad supera las existencias (EX-01).</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btnAgregar</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"AGREGAR A LA VENTA"</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Valida el stock y añade la partida a tblVenta; se deshabilita si la cantidad supera la existencia (RF-02.1, EX-01).</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tblVenta</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JTable</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DefaultTableModel</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Lista de partidas con desglose individual de precios e importes (RF-02.2).</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cmbCliente</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JComboBox&lt;Cliente&gt;</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"Público en general"</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solo clientes Activos; la opción por defecto no asocia cliente (RN-07, RN-09).</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btnNuevoCliente</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Nuevo"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Abre SCR-05 para registrar un cliente sin salir de la venta (RF-04.1).</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chkFactura</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JCheckBox</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"Requiere factura" (desmarcado)</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Marca la venta para facturación posterior; al marcarla se valida el cliente (RN-12).</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lblVendedor</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"Vendedor: [nombre completo]"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el vendedor registrado en la barra superior; no es editable en esta pantalla (RF-05.2).</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lblSubtotal</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"$0.00"</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Suma los importes netos sin impuestos de todas las partidas (RF-02.2).</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lblIVA</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"$0.00"</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Calcula el IVA (16% sobre el subtotal) mediante CalculadoraImpuestos (RF-02.2).</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lblTotal</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"$0.00"</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Monto final a cobrar (subtotal + IVA) en fuente grande y negrita (RF-02.2, RNF-01).</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btnConfirmar</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"CONFIRMAR VENTA (F5)"</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Llama al modal SCR-02; permanece deshabilitado mientras la lista esté vacía (RN-04, RF-03.1).</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btnNavVentas / btnNavClientes / btnNavVendedor</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JToggleButton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"Ventas", "Clientes", "Vendedor"</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Cambian entre SCR-01, SCR-04 y SCR-07 mediante CardLayout.</w:t>
            </w:r>
          </w:p>
        </w:tc>
      </w:tr>
    </w:tbl>
    <w:p>
      <w:pPr>
        <w:pStyle w:val="Heading2"/>
        <w:keepNext/>
        <w:spacing w:after="80" w:before="160"/>
      </w:pPr>
      <w:r>
        <w:rPr>
          <w:rFonts w:ascii="Times New Roman" w:cs="Times New Roman" w:eastAsia="Times New Roman" w:hAnsi="Times New Roman"/>
          <w:b/>
          <w:bCs/>
          <w:sz w:val="24"/>
          <w:szCs w:val="24"/>
        </w:rPr>
        <w:t xml:space="preserve">4.2 Ventana modal de cierre (SCR-02)</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40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Identificador (variable Java)</w:t>
            </w:r>
          </w:p>
        </w:tc>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Tipo de componente Swing</w:t>
            </w:r>
          </w:p>
        </w:tc>
        <w:tc>
          <w:tcPr>
            <w:tcW w:type="dxa" w:w="1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Texto / valor inicial</w:t>
            </w:r>
          </w:p>
        </w:tc>
        <w:tc>
          <w:tcPr>
            <w:tcW w:type="dxa" w:w="40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función en Java</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lblTituloModal</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"Confirmar registro de venta"</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Encabezado del cuadro de diálogo modal (RF-03.1).</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lblFechaHora</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"02-Nov-2026 18:45:10"</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Captura la fecha y hora exactas del sistema para el registro (RF-03.1).</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lblVendedorModal</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Nombre del vendedor registrado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al vendedor tomado de su perfil, sin captura manual (RF-05.2).</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lblClienteModal</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"Público en general" o cliente</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el cliente asociado o «Público en general» (RN-07).</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lblFacturaModal</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 / "Sí, requiere factura"</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Indica si la venta quedará marcada para facturación (RN-12).</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lblAlertaFactura</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(oculto)</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EX-06 cuando falta cliente, está inactivo o faltan RFC, razón social o correo; incluye enlace para abrir el perfil.</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pnlResumenCompra</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JScrollPane / JList</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Lista con artículos y precios</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Despliega los artículos, cantidades y precios unitarios agregados (RF-03.1).</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lblDesgloseIVA</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"IVA (16%): $312.00"</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Desglose transparente del impuesto sumado al subtotal.</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lblTotalModal</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"TOTAL A COBRAR: $2,262.00 MXN"</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Importe definitivo en formato tipográfico prominente.</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btnRegistrarCerrar</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"REGISTRAR Y CERRAR (F5)"</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Ejecuta la transacción local: registra la venta, descuenta existencias y abre SCR-03 (RF-03.2, RNF-03).</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btnCancelarVolver</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"ESC Cancelar y Volver"</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Cierra SCR-02 y regresa a SCR-01 conservando la lista (RF-03.1).</w:t>
            </w:r>
          </w:p>
        </w:tc>
      </w:tr>
    </w:tbl>
    <w:p>
      <w:pPr>
        <w:pStyle w:val="Heading2"/>
        <w:keepNext/>
        <w:spacing w:after="80" w:before="160"/>
      </w:pPr>
      <w:r>
        <w:rPr>
          <w:rFonts w:ascii="Times New Roman" w:cs="Times New Roman" w:eastAsia="Times New Roman" w:hAnsi="Times New Roman"/>
          <w:b/>
          <w:bCs/>
          <w:sz w:val="24"/>
          <w:szCs w:val="24"/>
        </w:rPr>
        <w:t xml:space="preserve">4.3 Ventana de venta exitosa (SCR-03)</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40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Identificador (variable Java)</w:t>
            </w:r>
          </w:p>
        </w:tc>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Tipo de componente Swing</w:t>
            </w:r>
          </w:p>
        </w:tc>
        <w:tc>
          <w:tcPr>
            <w:tcW w:type="dxa" w:w="1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Texto / valor inicial</w:t>
            </w:r>
          </w:p>
        </w:tc>
        <w:tc>
          <w:tcPr>
            <w:tcW w:type="dxa" w:w="40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función en Java</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lblIconoExito</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 / Icon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Icono verde (check)</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Confirmación visual de la transacción atómica guardada en la BD local.</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lblTituloExito</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"VENTA REGISTRADA CON ÉXITO"</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Encabezado del cuadro informativo.</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lblFolioGenerado</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"FOLIO ASIGNADO: STKD-2026-0042"</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Exhibe el folio único consecutivo asignado tras la persistencia (RF-03.3).</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btnAceptar</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"ACEPTAR / NUEVA VENTA (Enter)"</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Cierra SCR-03, limpia tblVenta, restablece cmbCliente a «Público en general», desmarca chkFactura y coloca el cursor en txtBusqueda.</w:t>
            </w:r>
          </w:p>
        </w:tc>
      </w:tr>
    </w:tbl>
    <w:p>
      <w:pPr>
        <w:pStyle w:val="Heading2"/>
        <w:keepNext/>
        <w:spacing w:after="80" w:before="160"/>
      </w:pPr>
      <w:r>
        <w:rPr>
          <w:rFonts w:ascii="Times New Roman" w:cs="Times New Roman" w:eastAsia="Times New Roman" w:hAnsi="Times New Roman"/>
          <w:b/>
          <w:bCs/>
          <w:sz w:val="24"/>
          <w:szCs w:val="24"/>
        </w:rPr>
        <w:t xml:space="preserve">4.4 Lista de clientes (SCR-04)</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40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Identificador (variable Java)</w:t>
            </w:r>
          </w:p>
        </w:tc>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Tipo de componente Swing</w:t>
            </w:r>
          </w:p>
        </w:tc>
        <w:tc>
          <w:tcPr>
            <w:tcW w:type="dxa" w:w="1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Texto / valor inicial</w:t>
            </w:r>
          </w:p>
        </w:tc>
        <w:tc>
          <w:tcPr>
            <w:tcW w:type="dxa" w:w="40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función en Java</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txtBusquedaCliente</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(vacío)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Filtra por nombre, apellido, código CLI-0001 o teléfono, sin distinguir mayúsculas ni acentos (RF-04.7).</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cmbEstado</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JComboBox&lt;String&gt;</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"Todos"</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Segmenta por Activo / Inactivo (RF-04.8).</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cmbTipo</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JComboBox&lt;String&gt;</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"Todos"</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Segmenta por Persona Física / Persona Moral (RF-04.8).</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tblClientes</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JTable</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DefaultTableModel</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Lista general: código, nombre o razón social, tipo, teléfono, RFC, estado y última modificación; no editable (RF-04.4).</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btnNuevoCliente</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NUEVO CLIENTE (F6)"</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Abre SCR-05 en modo alta (RF-04.1).</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btnVerPerfil</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"VER PERFIL (Enter)"</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Abre SCR-06 del cliente seleccionado (RF-04.4); deshabilitado sin selección.</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btnEditar</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"EDITAR (F4)"</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Abre SCR-05 en modo edición (RF-04.5).</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btnCambiarEstado</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"CAMBIAR A INACTIVO"</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Alterna Activo / Inactivo con confirmación; actualiza la fecha de modificación (RF-04.6, RN-09, RN-13).</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lblAvisoPrivacidad</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Texto de aviso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Informa que los datos se usan solo para facturación y atención de ventas y se guardan únicamente en el equipo (RNF-09).</w:t>
            </w:r>
          </w:p>
        </w:tc>
      </w:tr>
    </w:tbl>
    <w:p>
      <w:pPr>
        <w:pStyle w:val="Heading2"/>
        <w:keepNext/>
        <w:spacing w:after="80" w:before="160"/>
      </w:pPr>
      <w:r>
        <w:rPr>
          <w:rFonts w:ascii="Times New Roman" w:cs="Times New Roman" w:eastAsia="Times New Roman" w:hAnsi="Times New Roman"/>
          <w:b/>
          <w:bCs/>
          <w:sz w:val="24"/>
          <w:szCs w:val="24"/>
        </w:rPr>
        <w:t xml:space="preserve">4.5 Formulario de cliente (SCR-05)</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40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Identificador (variable Java)</w:t>
            </w:r>
          </w:p>
        </w:tc>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Tipo de componente Swing</w:t>
            </w:r>
          </w:p>
        </w:tc>
        <w:tc>
          <w:tcPr>
            <w:tcW w:type="dxa" w:w="1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Texto / valor inicial</w:t>
            </w:r>
          </w:p>
        </w:tc>
        <w:tc>
          <w:tcPr>
            <w:tcW w:type="dxa" w:w="40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función en Java</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lblCodigoCliente</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"CLI-0006 (autogenerado)"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Código consecutivo no editable (RF-04.1).</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txtNombre / txtApellido</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(vacío)</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Datos críticos obligatorios (RF-04.2, EX-04).</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spnEdad</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JSpinner</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vacío (18–120)</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Entero entre 18 y 120 si se captura (RF-04.2).</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txtTelefono</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 (formato)</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(vacío)</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Obligatorio; 10 dígitos (RF-04.2).</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txtCorreo</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(vacío)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Opcional; formato válido y no repetido (RF-04.2, RF-04.3, RN-08).</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cmbTipoCliente</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JComboBox&lt;String&gt;</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"Persona Física"</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Define el largo esperado del RFC: 13 (física) o 12 (moral).</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txtRFC</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(vacío)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Opcional; valida formato y duplicidad en tiempo real (RF-04.3, EX-05).</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txtRazonSocial</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(vacío)</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Opcional; requerido para facturar (RN-12).</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lblErrorCampo</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(oculto)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Mensaje en rojo junto al campo con error; el campo se resalta con borde rojo (EX-04, EX-05).</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btnGuardarCliente</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"GUARDAR (F5)"</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Guarda el cliente y la fecha de registro o modificación; se deshabilita si hay errores (RF-04.1, RF-04.5).</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btnCancelarCliente</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"ESC Cancelar"</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Cierra SCR-05 sin guardar.</w:t>
            </w:r>
          </w:p>
        </w:tc>
      </w:tr>
    </w:tbl>
    <w:p>
      <w:pPr>
        <w:pStyle w:val="Heading2"/>
        <w:keepNext/>
        <w:spacing w:after="80" w:before="160"/>
      </w:pPr>
      <w:r>
        <w:rPr>
          <w:rFonts w:ascii="Times New Roman" w:cs="Times New Roman" w:eastAsia="Times New Roman" w:hAnsi="Times New Roman"/>
          <w:b/>
          <w:bCs/>
          <w:sz w:val="24"/>
          <w:szCs w:val="24"/>
        </w:rPr>
        <w:t xml:space="preserve">4.6 Perfil del cliente (SCR-06)</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40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Identificador (variable Java)</w:t>
            </w:r>
          </w:p>
        </w:tc>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Tipo de componente Swing</w:t>
            </w:r>
          </w:p>
        </w:tc>
        <w:tc>
          <w:tcPr>
            <w:tcW w:type="dxa" w:w="1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Texto / valor inicial</w:t>
            </w:r>
          </w:p>
        </w:tc>
        <w:tc>
          <w:tcPr>
            <w:tcW w:type="dxa" w:w="40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función en Java</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lblNombreCompleto / lblCodigoEstado</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Datos del cliente</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Encabezado con nombre o razón social, código, tipo y estado (RF-04.4).</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pnlDatosPerfil</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JPanel (GridLayout)</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Datos del cliente</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Edad, teléfono, correo, RFC, razón social, fecha de registro y de última modificación (RF-04.4).</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tblCompras</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JTable</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DefaultTableModel</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Ventas del cliente (folio, fecha, subtotal, IVA, total, factura solicitada), de la más reciente a la más antigua (RF-04.9).</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lblNumCompras / lblMontoAcumulado / lblUltimaCompra</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 "$0.00", "—"</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Totales del consolidado; sin compras muestra «Sin compras registradas» (RF-04.9).</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btnEditarPerfil</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"EDITAR"</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Abre SCR-05 en modo edición (RF-04.5).</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btnCambiarEstadoPerfil</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"CAMBIAR A INACTIVO"</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Alterna el estado del cliente (RF-04.6).</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btnVolver</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Volver a la lista (ESC)"</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Regresa a SCR-04.</w:t>
            </w:r>
          </w:p>
        </w:tc>
      </w:tr>
    </w:tbl>
    <w:p>
      <w:pPr>
        <w:pStyle w:val="Heading2"/>
        <w:keepNext/>
        <w:spacing w:after="80" w:before="160"/>
      </w:pPr>
      <w:r>
        <w:rPr>
          <w:rFonts w:ascii="Times New Roman" w:cs="Times New Roman" w:eastAsia="Times New Roman" w:hAnsi="Times New Roman"/>
          <w:b/>
          <w:bCs/>
          <w:sz w:val="24"/>
          <w:szCs w:val="24"/>
        </w:rPr>
        <w:t xml:space="preserve">4.7 Perfil del vendedor (SCR-07)</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40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Identificador (variable Java)</w:t>
            </w:r>
          </w:p>
        </w:tc>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Tipo de componente Swing</w:t>
            </w:r>
          </w:p>
        </w:tc>
        <w:tc>
          <w:tcPr>
            <w:tcW w:type="dxa" w:w="1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Texto / valor inicial</w:t>
            </w:r>
          </w:p>
        </w:tc>
        <w:tc>
          <w:tcPr>
            <w:tcW w:type="dxa" w:w="40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función en Java</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txtNombreVendedor / txtApellidoVendedor</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Datos guardados</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Edición de nombre y apellido, obligatorios (RF-05.1, EX-04).</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spnEdadVendedor</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JSpinner</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Edad guardada (18–120)</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Validación de rango de edad (RF-05.1).</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lblFechaModVendedor</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Fecha y hora</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Fecha de última modificación, actualizada al guardar (RN-13).</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lblVentasVendedor</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Número de ventas</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Cantidad de ventas registradas con este vendedor.</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btnGuardarVendedor</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"GUARDAR CAMBIOS (F5)"</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Guarda los cambios; las ventas nuevas usan los datos actualizados (RF-05.2).</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btnCancelarVendedor</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"CANCELAR"</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Descarta los cambios y restablece los valores guardados. No existe botón de eliminar (RN-11).</w:t>
            </w:r>
          </w:p>
        </w:tc>
      </w:tr>
    </w:tbl>
    <w:p>
      <w:pPr>
        <w:pStyle w:val="Heading1"/>
        <w:keepNext/>
        <w:spacing w:after="100" w:before="240"/>
      </w:pPr>
      <w:r>
        <w:rPr>
          <w:rFonts w:ascii="Times New Roman" w:cs="Times New Roman" w:eastAsia="Times New Roman" w:hAnsi="Times New Roman"/>
          <w:b/>
          <w:bCs/>
          <w:sz w:val="28"/>
          <w:szCs w:val="28"/>
        </w:rPr>
        <w:t xml:space="preserve">5. Estados de botones y controles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100"/>
        <w:gridCol w:w="3273"/>
      </w:tblGrid>
      <w:tr>
        <w:trPr>
          <w:cantSplit/>
          <w:tblHeader/>
        </w:trPr>
        <w:tc>
          <w:tcPr>
            <w:tcW w:type="dxa" w:w="1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Componente</w:t>
            </w:r>
          </w:p>
        </w:tc>
        <w:tc>
          <w:tcPr>
            <w:tcW w:type="dxa" w:w="17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Estado lógico</w:t>
            </w:r>
          </w:p>
        </w:tc>
        <w:tc>
          <w:tcPr>
            <w:tcW w:type="dxa" w:w="31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Condición disparadora</w:t>
            </w:r>
          </w:p>
        </w:tc>
        <w:tc>
          <w:tcPr>
            <w:tcW w:type="dxa" w:w="32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Comportamiento visual / operativo</w:t>
            </w:r>
          </w:p>
        </w:tc>
      </w:tr>
      <w:tr>
        <w:trPr>
          <w:cantSplit/>
        </w:trPr>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btnAgregar</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Deshabilitado</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 hay producto seleccionado o spnCantidad es menor o igual a cero.</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Botón opaco en gris; no responde a eventos.</w:t>
            </w:r>
          </w:p>
        </w:tc>
      </w:tr>
      <w:tr>
        <w:trPr>
          <w:cantSplit/>
        </w:trPr>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btnAgregar</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Bloqueado por EX-01</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La cantidad supera la existencia (cantidad &gt; stock).</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Se bloquea, el campo se resalta en borde rojo y lblAlertaStock muestra el error.</w:t>
            </w:r>
          </w:p>
        </w:tc>
      </w:tr>
      <w:tr>
        <w:trPr>
          <w:cantSplit/>
        </w:trPr>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btnAgregar</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Habilitado</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Producto seleccionado con cantidad válida (1 ≤ cantidad ≤ stock).</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Verde (#28A745); permite clic o Enter.</w:t>
            </w:r>
          </w:p>
        </w:tc>
      </w:tr>
      <w:tr>
        <w:trPr>
          <w:cantSplit/>
        </w:trPr>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cmbCliente</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Solo clientes activos</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Existen clientes con estado Inactivo.</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Los clientes inactivos no aparecen en la lista (RN-09).</w:t>
            </w:r>
          </w:p>
        </w:tc>
      </w:tr>
      <w:tr>
        <w:trPr>
          <w:cantSplit/>
        </w:trPr>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chkFactura</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Habilitado</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Siempre.</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 marcarla sin cliente se informa que debe elegirse un cliente (EX-06).</w:t>
            </w:r>
          </w:p>
        </w:tc>
      </w:tr>
      <w:tr>
        <w:trPr>
          <w:cantSplit/>
        </w:trPr>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btnConfirmar</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Deshabilitado</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La lista tblVenta está vacía.</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Gris; impide ventas vacías (RN-04).</w:t>
            </w:r>
          </w:p>
        </w:tc>
      </w:tr>
      <w:tr>
        <w:trPr>
          <w:cantSplit/>
        </w:trPr>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btnConfirmar</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Habilitado</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La lista contiene al menos una partida válida.</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Azul (#007BFF); permite clic o F5.</w:t>
            </w:r>
          </w:p>
        </w:tc>
      </w:tr>
      <w:tr>
        <w:trPr>
          <w:cantSplit/>
        </w:trPr>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btnRegistrarCerrar</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Deshabilitado por EX-06</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Factura solicitada sin cliente activo con RFC, razón social y correo.</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Gris; lblAlertaFactura explica el dato faltante.</w:t>
            </w:r>
          </w:p>
        </w:tc>
      </w:tr>
      <w:tr>
        <w:trPr>
          <w:cantSplit/>
        </w:trPr>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btnRegistrarCerrar</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Habilitado</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Modal SCR-02 visible y datos validados.</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Verde; ejecuta la transacción atómica con clic o F5.</w:t>
            </w:r>
          </w:p>
        </w:tc>
      </w:tr>
      <w:tr>
        <w:trPr>
          <w:cantSplit/>
        </w:trPr>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btnGuardarCliente</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Deshabilitado</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Falta un dato crítico, el formato es inválido o el RFC o correo ya existen.</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Gris; el campo con error se resalta en rojo con su mensaje (EX-04, EX-05).</w:t>
            </w:r>
          </w:p>
        </w:tc>
      </w:tr>
      <w:tr>
        <w:trPr>
          <w:cantSplit/>
        </w:trPr>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btnGuardarCliente</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Habilitado</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Todos los datos críticos son válidos y no hay duplicados.</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Verde; permite clic o F5.</w:t>
            </w:r>
          </w:p>
        </w:tc>
      </w:tr>
      <w:tr>
        <w:trPr>
          <w:cantSplit/>
        </w:trPr>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btnVerPerfil / btnEditar / btnCambiarEstado</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Deshabilitado</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 hay cliente seleccionado en tblClientes.</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Gris; no responde a eventos.</w:t>
            </w:r>
          </w:p>
        </w:tc>
      </w:tr>
      <w:tr>
        <w:trPr>
          <w:cantSplit/>
        </w:trPr>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btnCambiarEstado</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Texto dinámico</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cliente seleccionado está Activo o Inactivo.</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«CAMBIAR A INACTIVO» o «REACTIVAR» según el estado.</w:t>
            </w:r>
          </w:p>
        </w:tc>
      </w:tr>
      <w:tr>
        <w:trPr>
          <w:cantSplit/>
        </w:trPr>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btnGuardarVendedor</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Deshabilitado</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Nombre o apellido vacíos o edad fuera de 18–120.</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Gris; se señala el campo (EX-04).</w:t>
            </w:r>
          </w:p>
        </w:tc>
      </w:tr>
    </w:tbl>
    <w:p>
      <w:pPr>
        <w:pStyle w:val="Heading1"/>
        <w:keepNext/>
        <w:pageBreakBefore/>
        <w:spacing w:after="100" w:before="240"/>
      </w:pPr>
      <w:r>
        <w:rPr>
          <w:rFonts w:ascii="Times New Roman" w:cs="Times New Roman" w:eastAsia="Times New Roman" w:hAnsi="Times New Roman"/>
          <w:b/>
          <w:bCs/>
          <w:sz w:val="28"/>
          <w:szCs w:val="28"/>
        </w:rPr>
        <w:t xml:space="preserve">6. Flujo de interacción del usuario</w:t>
      </w:r>
    </w:p>
    <w:p>
      <w:pPr>
        <w:spacing w:after="60" w:before="0" w:line="360"/>
        <w:jc w:val="both"/>
      </w:pPr>
      <w:r>
        <w:rPr>
          <w:rFonts w:ascii="Times New Roman" w:cs="Times New Roman" w:eastAsia="Times New Roman" w:hAnsi="Times New Roman"/>
          <w:sz w:val="24"/>
          <w:szCs w:val="24"/>
        </w:rPr>
        <w:t xml:space="preserve">El siguiente flujo describe la operación de venta paso a paso, incluyendo los bucles de retorno hacia la validación cuando se detectan errores o excepciones:</w:t>
      </w:r>
    </w:p>
    <w:p>
      <w:pPr>
        <w:spacing w:after="60" w:before="60"/>
        <w:jc w:val="center"/>
      </w:pPr>
      <w:r>
        <w:drawing>
          <wp:inline distT="0" distB="0" distL="0" distR="0">
            <wp:extent cx="3105150" cy="6838950"/>
            <wp:effectExtent t="0" r="0" b="0" l="0"/>
            <wp:docPr id="1" name="Flujo de venta" descr="Flujo de venta" title="Flujo de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05150" cy="6838950"/>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11. Flujo de interacción de la venta (SCR-01 a SCR-03).</w:t>
      </w:r>
    </w:p>
    <w:p>
      <w:pPr>
        <w:spacing w:after="60" w:before="120" w:line="360"/>
        <w:jc w:val="both"/>
      </w:pPr>
      <w:r>
        <w:rPr>
          <w:rFonts w:ascii="Times New Roman" w:cs="Times New Roman" w:eastAsia="Times New Roman" w:hAnsi="Times New Roman"/>
          <w:sz w:val="24"/>
          <w:szCs w:val="24"/>
        </w:rPr>
        <w:t xml:space="preserve">El flujo de gestión de clientes parte de la lista (SCR-04) y pasa por el formulario (SCR-05) con sus validaciones:</w:t>
      </w:r>
    </w:p>
    <w:p>
      <w:pPr>
        <w:spacing w:after="60" w:before="60"/>
        <w:jc w:val="center"/>
      </w:pPr>
      <w:r>
        <w:drawing>
          <wp:inline distT="0" distB="0" distL="0" distR="0">
            <wp:extent cx="3838575" cy="3362325"/>
            <wp:effectExtent t="0" r="0" b="0" l="0"/>
            <wp:docPr id="1" name="Flujo de cliente" descr="Flujo de cliente" title="Flujo de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38575" cy="336232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12. Flujo de gestión de clientes (SCR-04 a SCR-06).</w:t>
      </w:r>
    </w:p>
    <w:p>
      <w:pPr>
        <w:pStyle w:val="Heading1"/>
        <w:keepNext/>
        <w:spacing w:after="100" w:before="240"/>
      </w:pPr>
      <w:r>
        <w:rPr>
          <w:rFonts w:ascii="Times New Roman" w:cs="Times New Roman" w:eastAsia="Times New Roman" w:hAnsi="Times New Roman"/>
          <w:b/>
          <w:bCs/>
          <w:sz w:val="28"/>
          <w:szCs w:val="28"/>
        </w:rPr>
        <w:t xml:space="preserve">7. Reglas de diseño aplicadas</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Simplicidad y foco visual:</w:t>
      </w:r>
      <w:r>
        <w:rPr>
          <w:rFonts w:ascii="Times New Roman" w:cs="Times New Roman" w:eastAsia="Times New Roman" w:hAnsi="Times New Roman"/>
          <w:sz w:val="24"/>
          <w:szCs w:val="24"/>
        </w:rPr>
        <w:t xml:space="preserve"> eliminación de menús secundarios no operativos durante el cobro. Toda la información crítica permanece accesible en 1366 × 768 píxeles.</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Prevención de errores (poka-yoke):</w:t>
      </w:r>
      <w:r>
        <w:rPr>
          <w:rFonts w:ascii="Times New Roman" w:cs="Times New Roman" w:eastAsia="Times New Roman" w:hAnsi="Times New Roman"/>
          <w:sz w:val="24"/>
          <w:szCs w:val="24"/>
        </w:rPr>
        <w:t xml:space="preserve"> deshabilitación automática de botones cuando no se cumplen las reglas de negocio, con bucles de retorno claros a la etapa de entrada de datos.</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Manejo transparente del IVA:</w:t>
      </w:r>
      <w:r>
        <w:rPr>
          <w:rFonts w:ascii="Times New Roman" w:cs="Times New Roman" w:eastAsia="Times New Roman" w:hAnsi="Times New Roman"/>
          <w:sz w:val="24"/>
          <w:szCs w:val="24"/>
        </w:rPr>
        <w:t xml:space="preserve"> desglose del IVA (16%) calculado en tiempo real, sumado al subtotal, para evitar discrepancias al cierre de caja.</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Muestreo seguro de folios:</w:t>
      </w:r>
      <w:r>
        <w:rPr>
          <w:rFonts w:ascii="Times New Roman" w:cs="Times New Roman" w:eastAsia="Times New Roman" w:hAnsi="Times New Roman"/>
          <w:sz w:val="24"/>
          <w:szCs w:val="24"/>
        </w:rPr>
        <w:t xml:space="preserve"> el folio único solo se genera y muestra tras la confirmación exitosa y atómica en la base local.</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Operatividad por teclado:</w:t>
      </w:r>
      <w:r>
        <w:rPr>
          <w:rFonts w:ascii="Times New Roman" w:cs="Times New Roman" w:eastAsia="Times New Roman" w:hAnsi="Times New Roman"/>
          <w:sz w:val="24"/>
          <w:szCs w:val="24"/>
        </w:rPr>
        <w:t xml:space="preserve"> atajos F2 (buscar), F3 (cantidad), F4 (editar), F5 (confirmar o guardar), F6 (nuevo cliente) y ESC (cancelar) para navegar sin mouse.</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Cliente opcional sin fricción:</w:t>
      </w:r>
      <w:r>
        <w:rPr>
          <w:rFonts w:ascii="Times New Roman" w:cs="Times New Roman" w:eastAsia="Times New Roman" w:hAnsi="Times New Roman"/>
          <w:sz w:val="24"/>
          <w:szCs w:val="24"/>
        </w:rPr>
        <w:t xml:space="preserve"> la venta puede cerrarse como «Público en general» sin capturar datos; la exigencia de datos fiscales aparece únicamente cuando se marca «Requiere factura».</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Validación en el momento:</w:t>
      </w:r>
      <w:r>
        <w:rPr>
          <w:rFonts w:ascii="Times New Roman" w:cs="Times New Roman" w:eastAsia="Times New Roman" w:hAnsi="Times New Roman"/>
          <w:sz w:val="24"/>
          <w:szCs w:val="24"/>
        </w:rPr>
        <w:t xml:space="preserve"> los errores de datos y de duplicidad se muestran junto al campo, en rojo y con un mensaje claro, antes de intentar guardar.</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Privacidad visible:</w:t>
      </w:r>
      <w:r>
        <w:rPr>
          <w:rFonts w:ascii="Times New Roman" w:cs="Times New Roman" w:eastAsia="Times New Roman" w:hAnsi="Times New Roman"/>
          <w:sz w:val="24"/>
          <w:szCs w:val="24"/>
        </w:rPr>
        <w:t xml:space="preserve"> las pantallas de clientes muestran el aviso de uso de datos personales (RNF-09).</w:t>
      </w:r>
    </w:p>
    <w:p>
      <w:pPr>
        <w:pStyle w:val="Heading1"/>
        <w:keepNext/>
        <w:spacing w:after="100" w:before="240"/>
      </w:pPr>
      <w:r>
        <w:rPr>
          <w:rFonts w:ascii="Times New Roman" w:cs="Times New Roman" w:eastAsia="Times New Roman" w:hAnsi="Times New Roman"/>
          <w:b/>
          <w:bCs/>
          <w:sz w:val="28"/>
          <w:szCs w:val="28"/>
        </w:rPr>
        <w:t xml:space="preserve">8. Trazabilidad con requisitos (SRS)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873"/>
      </w:tblGrid>
      <w:tr>
        <w:trPr>
          <w:cantSplit/>
          <w:tblHeader/>
        </w:trPr>
        <w:tc>
          <w:tcPr>
            <w:tcW w:type="dxa" w:w="3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regla / excepción</w:t>
            </w:r>
          </w:p>
        </w:tc>
        <w:tc>
          <w:tcPr>
            <w:tcW w:type="dxa" w:w="31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Componente en el diseño de pantallas</w:t>
            </w:r>
          </w:p>
        </w:tc>
        <w:tc>
          <w:tcPr>
            <w:tcW w:type="dxa" w:w="38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Criterio de verificación visual</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RF-01.1 (Visualizar inventario)</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tblCatalogo en SCR-01</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Despliega columnas Código, Nombre, Categoría, Precio y Stock de los 10 productos.</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RF-01.2 (Buscar productos)</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txtBusqueda y cmbCategoria</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Filtra el catálogo en tiempo real por texto, código o categoría.</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RF-02.1 (Agregar y validar)</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spnCantidad y btnAgregar</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Valida enteros positivos y bloquea adiciones que superen la existencia (EX-01).</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RF-02.2 (Editar y calcular total)</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tblVenta y etiquetas Subtotal / IVA / Total</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Recalcula de forma instantánea el subtotal, el IVA (16%) y el total.</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RF-03.1 (Capturar y confirmar)</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btnConfirmar, cmbCliente, chkFactura y modal SCR-02</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Valida al menos una partida y muestra vendedor, cliente y factura antes de confirmar.</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RF-03.2 (Descontar stock en BD)</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btnRegistrarCerrar en SCR-02</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 dar clic o presionar F5, guarda la venta y descuenta el stock.</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RF-03.3 (Emitir folio único)</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lblFolioGenerado en SCR-03</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el folio consecutivo después de completar el registro local.</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RF-04.1, RF-04.2 (Registrar cliente y validar)</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SCR-05: campos y lblErrorCampo</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Marca campos críticos vacíos o inválidos y bloquea Guardar.</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RF-04.3 (Duplicidad RFC / correo)</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txtRFC y txtCorreo en SCR-05</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Resalta el campo e indica el código del cliente que ya usa el dato (EX-05).</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RF-04.4 (Lista y perfil)</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tblClientes en SCR-04 y SCR-06</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la lista general y el perfil detallado.</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RF-04.5 (Actualizar y fecha)</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SCR-05 en modo edición y pnlDatosPerfil</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Guarda cambios y muestra la fecha de última modificación.</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RF-04.6 (Estado Activo / Inactivo)</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btnCambiarEstado y cmbCliente</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cliente inactivo no aparece en el selector de venta y conserva su historial.</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RF-04.7, RF-04.8 (Búsqueda y segmentación)</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txtBusquedaCliente, cmbEstado y cmbTipo</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Filtra la lista en tiempo real por palabra clave, estado y tipo.</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RF-04.9 (Consolidado de compras)</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tblCompras y totales en SCR-06</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Lista las ventas del cliente con folio, fecha, montos y factura solicitada.</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RF-05.1, RF-05.2 (Vendedor)</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SCR-07 y lblVendedor / lblVendedorModal</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Edita los datos del vendedor y los muestra automáticamente en cada venta.</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RN-12 / EX-06 (Factura sin datos fiscales)</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lblAlertaFactura y btnRegistrarCerrar</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Bloquea el cierre y ofrece abrir el perfil del cliente.</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RN-02 / EX-01 (Stock insuficiente)</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Campo en rojo y lblAlertaStock</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Bloquea btnAgregar y regresa al campo de cantidad.</w:t>
            </w:r>
          </w:p>
        </w:tc>
      </w:tr>
    </w:tbl>
    <w:p>
      <w:pPr>
        <w:pStyle w:val="Heading1"/>
        <w:keepNext/>
        <w:spacing w:after="100" w:before="240"/>
      </w:pPr>
      <w:r>
        <w:rPr>
          <w:rFonts w:ascii="Times New Roman" w:cs="Times New Roman" w:eastAsia="Times New Roman" w:hAnsi="Times New Roman"/>
          <w:b/>
          <w:bCs/>
          <w:sz w:val="28"/>
          <w:szCs w:val="28"/>
        </w:rPr>
        <w:t xml:space="preserve">9. Conclusión</w:t>
      </w:r>
    </w:p>
    <w:p>
      <w:pPr>
        <w:spacing w:after="60" w:before="0" w:line="360"/>
        <w:jc w:val="both"/>
      </w:pPr>
      <w:r>
        <w:rPr>
          <w:rFonts w:ascii="Times New Roman" w:cs="Times New Roman" w:eastAsia="Times New Roman" w:hAnsi="Times New Roman"/>
          <w:sz w:val="24"/>
          <w:szCs w:val="24"/>
        </w:rPr>
        <w:t xml:space="preserve">El artefacto de diseño consolida la arquitectura visual de StockFlow con un catálogo integrado de 10 productos, manejo claro del IVA (16%), asignación segura de folios consecutivos, administración de clientes para facturación y perfil del vendedor. La separación clara de componentes Swing, la definición de estados lógicos de controles y los bucles de corrección en los flujos aseguran una implementación ágil y robusta en la etapa de desarrollo en Java Swing.</w:t>
      </w:r>
    </w:p>
    <w:sectPr>
      <w:headerReference w:type="default" r:id="rId7"/>
      <w:footerReference w:type="default" r:id="rId8"/>
      <w:pgSz w:w="12240" w:h="15840" w:orient="portrait"/>
      <w:pgMar w:top="1701" w:right="850" w:bottom="1134" w:left="1417" w:header="567"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Times New Roman" w:cs="Times New Roman" w:eastAsia="Times New Roman" w:hAnsi="Times New Roman"/>
        <w:sz w:val="22"/>
        <w:szCs w:val="22"/>
      </w:rPr>
      <w:t xml:space="preserve">Página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Pr>
      <w:t xml:space="preserve"> de </w:t>
    </w:r>
    <w:r>
      <w:rPr>
        <w:rFonts w:ascii="Times New Roman" w:cs="Times New Roman" w:eastAsia="Times New Roman" w:hAnsi="Times New Roman"/>
        <w:sz w:val="22"/>
        <w:szCs w:val="22"/>
      </w:rPr>
      <w:fldChar w:fldCharType="begin"/>
      <w:instrText xml:space="preserve">NUMPAGES</w:instrText>
      <w:fldChar w:fldCharType="separate"/>
      <w:fldChar w:fldCharType="end"/>
    </w:r>
  </w:p>
  <w:p>
    <w:pPr>
      <w:spacing w:after="0"/>
      <w:jc w:val="right"/>
    </w:pPr>
    <w:r>
      <w:rPr>
        <w:rFonts w:ascii="Times New Roman" w:cs="Times New Roman" w:eastAsia="Times New Roman" w:hAnsi="Times New Roman"/>
        <w:sz w:val="22"/>
        <w:szCs w:val="22"/>
      </w:rPr>
      <w:t xml:space="preserve">STKD_MCK_V0_2_241026.docx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5186"/>
      <w:gridCol w:w="4787"/>
    </w:tblGrid>
    <w:tr>
      <w:tc>
        <w:tcPr>
          <w:tcW w:type="dxa" w:w="5186"/>
          <w:tcBorders>
            <w:top w:val="double" w:color="000000" w:sz="6"/>
            <w:left w:val="double" w:color="000000" w:sz="6"/>
            <w:bottom w:val="double" w:color="000000" w:sz="6"/>
            <w:right w:val="double" w:color="000000" w:sz="6"/>
          </w:tcBorders>
          <w:tcMar>
            <w:top w:type="dxa" w:w="40"/>
            <w:left w:type="dxa" w:w="100"/>
            <w:bottom w:type="dxa" w:w="40"/>
            <w:right w:type="dxa" w:w="100"/>
          </w:tcMar>
        </w:tcPr>
        <w:p>
          <w:pPr>
            <w:spacing w:after="0"/>
          </w:pPr>
          <w:r>
            <w:drawing>
              <wp:inline distT="0" distB="0" distL="0" distR="0">
                <wp:extent cx="1143000" cy="34290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42900"/>
                        </a:xfrm>
                        <a:prstGeom prst="rect">
                          <a:avLst/>
                        </a:prstGeom>
                      </pic:spPr>
                    </pic:pic>
                  </a:graphicData>
                </a:graphic>
              </wp:inline>
            </w:drawing>
          </w:r>
        </w:p>
        <w:p>
          <w:pPr>
            <w:spacing w:after="0" w:before="40"/>
          </w:pPr>
          <w:r>
            <w:rPr>
              <w:rFonts w:ascii="Times New Roman" w:cs="Times New Roman" w:eastAsia="Times New Roman" w:hAnsi="Times New Roman"/>
              <w:sz w:val="22"/>
              <w:szCs w:val="22"/>
            </w:rPr>
            <w:t xml:space="preserve">Mockups y diseño de pantallas</w:t>
          </w:r>
        </w:p>
      </w:tc>
      <w:tc>
        <w:tcPr>
          <w:tcW w:type="dxa" w:w="4787"/>
          <w:tcBorders>
            <w:top w:val="double" w:color="000000" w:sz="6"/>
            <w:left w:val="double" w:color="000000" w:sz="6"/>
            <w:bottom w:val="double" w:color="000000" w:sz="6"/>
            <w:right w:val="double" w:color="000000" w:sz="6"/>
          </w:tcBorders>
          <w:tcMar>
            <w:top w:type="dxa" w:w="40"/>
            <w:left w:type="dxa" w:w="100"/>
            <w:bottom w:type="dxa" w:w="40"/>
            <w:right w:type="dxa" w:w="100"/>
          </w:tcMar>
        </w:tcPr>
        <w:p>
          <w:pPr>
            <w:spacing w:after="0" w:line="240"/>
            <w:jc w:val="right"/>
          </w:pPr>
          <w:r>
            <w:rPr>
              <w:rFonts w:ascii="Times New Roman" w:cs="Times New Roman" w:eastAsia="Times New Roman" w:hAnsi="Times New Roman"/>
              <w:sz w:val="22"/>
              <w:szCs w:val="22"/>
            </w:rPr>
            <w:t xml:space="preserve">Sistema de Ventas de Aparatos Electrónicos de Escritorio</w:t>
          </w:r>
        </w:p>
        <w:p>
          <w:pPr>
            <w:spacing w:after="0" w:line="240"/>
            <w:jc w:val="right"/>
          </w:pPr>
          <w:r>
            <w:rPr>
              <w:rFonts w:ascii="Times New Roman" w:cs="Times New Roman" w:eastAsia="Times New Roman" w:hAnsi="Times New Roman"/>
              <w:sz w:val="22"/>
              <w:szCs w:val="22"/>
            </w:rPr>
            <w:t xml:space="preserve">Ciclo: 1</w:t>
          </w:r>
        </w:p>
        <w:p>
          <w:pPr>
            <w:spacing w:after="0" w:line="240"/>
            <w:jc w:val="right"/>
          </w:pPr>
          <w:r>
            <w:rPr>
              <w:rFonts w:ascii="Times New Roman" w:cs="Times New Roman" w:eastAsia="Times New Roman" w:hAnsi="Times New Roman"/>
              <w:sz w:val="22"/>
              <w:szCs w:val="22"/>
            </w:rPr>
            <w:t xml:space="preserve">Etapa: DIS</w:t>
          </w:r>
        </w:p>
      </w:tc>
    </w:tr>
  </w:tbl>
  <w:p>
    <w:pP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jc w:val="center"/>
    </w:pPr>
    <w:rPr>
      <w:rFonts w:ascii="Times New Roman" w:cs="Times New Roman" w:eastAsia="Times New Roman" w:hAnsi="Times New Roman"/>
      <w:b/>
      <w:bCs/>
      <w:sz w:val="28"/>
      <w:szCs w:val="28"/>
    </w:rPr>
  </w:style>
  <w:style w:type="paragraph" w:styleId="Heading1">
    <w:name w:val="Heading 1"/>
    <w:basedOn w:val="Normal"/>
    <w:next w:val="Normal"/>
    <w:qFormat/>
    <w:pPr>
      <w:spacing w:after="10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180a5103b325935cee9edefaf249a73d4a53f4.png"/><Relationship Id="rId10" Type="http://schemas.openxmlformats.org/officeDocument/2006/relationships/image" Target="media/69786ffe94e2a2b1cc0aafa0ecb06071a344939b.png"/><Relationship Id="rId11" Type="http://schemas.openxmlformats.org/officeDocument/2006/relationships/image" Target="media/6296320ef77e3a3d7e49b4a60d8c72494588d4e8.png"/><Relationship Id="rId12" Type="http://schemas.openxmlformats.org/officeDocument/2006/relationships/image" Target="media/46658da5b72123e23822202f261f85f0e7c97952.png"/><Relationship Id="rId13" Type="http://schemas.openxmlformats.org/officeDocument/2006/relationships/image" Target="media/e86d7f94cceb61e0d9db145a5d995401f5fa08ea.png"/><Relationship Id="rId14" Type="http://schemas.openxmlformats.org/officeDocument/2006/relationships/image" Target="media/7f5f8db93a5befd9168a2a1e3933440a91db3014.png"/><Relationship Id="rId15" Type="http://schemas.openxmlformats.org/officeDocument/2006/relationships/image" Target="media/e94b3e1a37bd1fecd562f10290c51001581c0ad2.png"/><Relationship Id="rId16" Type="http://schemas.openxmlformats.org/officeDocument/2006/relationships/image" Target="media/d9d1ee37e8e3441d00c0d84549d96105d72d16b0.png"/><Relationship Id="rId17" Type="http://schemas.openxmlformats.org/officeDocument/2006/relationships/image" Target="media/b7166faf59d4993766aa435059389a862da44c05.png"/><Relationship Id="rId18" Type="http://schemas.openxmlformats.org/officeDocument/2006/relationships/image" Target="media/cc8377c0878c6ba14f2b7ebb707e5c9e60d123fd.png"/><Relationship Id="rId19" Type="http://schemas.openxmlformats.org/officeDocument/2006/relationships/image" Target="media/338c4d127357070606a67fce47e55a45c19ead56.png"/><Relationship Id="rId20" Type="http://schemas.openxmlformats.org/officeDocument/2006/relationships/image" Target="media/16446f91d0f6ed6ac31fc4f92fb284b13b74c2b1.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b8c560259798c0bda0e12130363aec867c1add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Mockups y diseño de pantallas</dc:title>
  <dc:creator>StockFlow</dc:creator>
  <cp:lastModifiedBy>Un-named</cp:lastModifiedBy>
  <cp:revision>1</cp:revision>
  <dcterms:created xsi:type="dcterms:W3CDTF">2026-10-25T03:40:12.117Z</dcterms:created>
  <dcterms:modified xsi:type="dcterms:W3CDTF">2026-10-25T03:40:12.122Z</dcterms:modified>
</cp:coreProperties>
</file>

<file path=docProps/custom.xml><?xml version="1.0" encoding="utf-8"?>
<Properties xmlns="http://schemas.openxmlformats.org/officeDocument/2006/custom-properties" xmlns:vt="http://schemas.openxmlformats.org/officeDocument/2006/docPropsVTypes"/>
</file>