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jc w:val="center"/>
      </w:pPr>
      <w:r>
        <w:rPr>
          <w:rFonts w:ascii="Times New Roman" w:cs="Times New Roman" w:eastAsia="Times New Roman" w:hAnsi="Times New Roman"/>
          <w:b/>
          <w:bCs/>
          <w:caps/>
          <w:sz w:val="28"/>
          <w:szCs w:val="28"/>
        </w:rPr>
        <w:t xml:space="preserve">Documento Guía del Proceso de Desarrollo de Software</w:t>
      </w:r>
    </w:p>
    <w:p>
      <w:pPr>
        <w:spacing w:after="60" w:before="0" w:line="276"/>
        <w:jc w:val="center"/>
      </w:pPr>
      <w:r>
        <w:rPr>
          <w:rFonts w:ascii="Times New Roman" w:cs="Times New Roman" w:eastAsia="Times New Roman" w:hAnsi="Times New Roman"/>
          <w:b/>
          <w:bCs/>
          <w:sz w:val="24"/>
          <w:szCs w:val="24"/>
        </w:rPr>
        <w:t xml:space="preserve">Proyecto: Sistema de Ventas de Aparatos Electrónicos de Escritorio</w:t>
      </w:r>
    </w:p>
    <w:p>
      <w:pPr>
        <w:spacing w:after="60" w:before="0" w:line="276"/>
        <w:jc w:val="center"/>
      </w:pPr>
      <w:r>
        <w:rPr>
          <w:rFonts w:ascii="Times New Roman" w:cs="Times New Roman" w:eastAsia="Times New Roman" w:hAnsi="Times New Roman"/>
          <w:b/>
          <w:bCs/>
          <w:sz w:val="22"/>
          <w:szCs w:val="22"/>
        </w:rPr>
        <w:t xml:space="preserve">Empresa:</w:t>
      </w:r>
      <w:r>
        <w:rPr>
          <w:rFonts w:ascii="Times New Roman" w:cs="Times New Roman" w:eastAsia="Times New Roman" w:hAnsi="Times New Roman"/>
          <w:sz w:val="22"/>
          <w:szCs w:val="22"/>
        </w:rPr>
        <w:t xml:space="preserve"> Empresa StockFlow | </w:t>
      </w:r>
      <w:r>
        <w:rPr>
          <w:rFonts w:ascii="Times New Roman" w:cs="Times New Roman" w:eastAsia="Times New Roman" w:hAnsi="Times New Roman"/>
          <w:b/>
          <w:bCs/>
          <w:sz w:val="22"/>
          <w:szCs w:val="22"/>
        </w:rPr>
        <w:t xml:space="preserve">Ciclo:</w:t>
      </w:r>
      <w:r>
        <w:rPr>
          <w:rFonts w:ascii="Times New Roman" w:cs="Times New Roman" w:eastAsia="Times New Roman" w:hAnsi="Times New Roman"/>
          <w:sz w:val="22"/>
          <w:szCs w:val="22"/>
        </w:rPr>
        <w:t xml:space="preserve"> 1 |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PLA | </w:t>
      </w:r>
      <w:r>
        <w:rPr>
          <w:rFonts w:ascii="Times New Roman" w:cs="Times New Roman" w:eastAsia="Times New Roman" w:hAnsi="Times New Roman"/>
          <w:b/>
          <w:bCs/>
          <w:sz w:val="22"/>
          <w:szCs w:val="22"/>
        </w:rPr>
        <w:t xml:space="preserve">Estado:</w:t>
      </w:r>
      <w:r>
        <w:rPr>
          <w:rFonts w:ascii="Times New Roman" w:cs="Times New Roman" w:eastAsia="Times New Roman" w:hAnsi="Times New Roman"/>
          <w:sz w:val="22"/>
          <w:szCs w:val="22"/>
        </w:rPr>
        <w:t xml:space="preserve"> [BORRADOR]</w:t>
      </w:r>
    </w:p>
    <w:p>
      <w:pPr>
        <w:spacing w:after="160" w:before="0" w:line="276"/>
        <w:jc w:val="center"/>
      </w:pPr>
      <w:r>
        <w:rPr>
          <w:rFonts w:ascii="Times New Roman" w:cs="Times New Roman" w:eastAsia="Times New Roman" w:hAnsi="Times New Roman"/>
          <w:b/>
          <w:bCs/>
          <w:sz w:val="22"/>
          <w:szCs w:val="22"/>
        </w:rPr>
        <w:t xml:space="preserve">Archivo oficial:</w:t>
      </w:r>
      <w:r>
        <w:rPr>
          <w:rFonts w:ascii="Times New Roman" w:cs="Times New Roman" w:eastAsia="Times New Roman" w:hAnsi="Times New Roman"/>
          <w:sz w:val="22"/>
          <w:szCs w:val="22"/>
        </w:rPr>
        <w:t xml:space="preserve"> STKD_PDS_V0_4_241026.docx | </w:t>
      </w: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AESA / DAOJ</w:t>
      </w:r>
    </w:p>
    <w:p>
      <w:pPr>
        <w:pStyle w:val="Heading2"/>
        <w:keepNext/>
        <w:spacing w:after="80" w:before="160"/>
      </w:pPr>
      <w:r>
        <w:rPr>
          <w:rFonts w:ascii="Times New Roman" w:cs="Times New Roman" w:eastAsia="Times New Roman" w:hAnsi="Times New Roman"/>
          <w:b/>
          <w:bCs/>
          <w:sz w:val="24"/>
          <w:szCs w:val="24"/>
        </w:rPr>
        <w:t xml:space="preserve">Control de versiones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15"/>
        <w:gridCol w:w="1064"/>
        <w:gridCol w:w="1812"/>
        <w:gridCol w:w="774"/>
        <w:gridCol w:w="774"/>
        <w:gridCol w:w="774"/>
        <w:gridCol w:w="774"/>
        <w:gridCol w:w="943"/>
        <w:gridCol w:w="943"/>
      </w:tblGrid>
      <w:tr>
        <w:trPr>
          <w:cantSplit/>
          <w:tblHeader/>
        </w:trPr>
        <w:tc>
          <w:tcPr>
            <w:tcW w:type="dxa" w:w="2115"/>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w:t>
            </w:r>
          </w:p>
        </w:tc>
        <w:tc>
          <w:tcPr>
            <w:tcW w:type="dxa" w:w="106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Fecha</w:t>
            </w:r>
          </w:p>
        </w:tc>
        <w:tc>
          <w:tcPr>
            <w:tcW w:type="dxa" w:w="1812"/>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Razón del cambio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Autor</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Versión</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Inicio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Fin</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Estimado</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Real</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STKD_PDS_V0_1_130926.pdf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13-Sep-2026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Creación e inicialización del documento borrador de proceso.</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0.1</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12:00</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18:30</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 hrs</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 hrs 30 min</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STKD_PDS_V0_2_140926.pdf</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14-Sep-2026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Adaptación inicial al programa de escritorio y definición de los dos procesos principales.</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13:31</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21:45</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 hrs</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 hrs 14 min</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STKD_PDS_V0_3_150926.pdf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15-Sep-2026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Revisión del modelo incremental, las entregas por valor de negocio, los criterios y la trazabilidad.</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0.3</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09:00</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18:17</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10 hrs</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9 hrs 17 min</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STKD_PDS_V0_4_241026.docx</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24-Oct-2026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del incremento 5 (clientes y vendedor) al plan de incrementos, alineación de los criterios de calidad con el SRS (RF-01 a RF-05, RNF-01 a RNF-09) y nuevos riesgos R-06 y R-07.</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0.4</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90 min</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bl>
    <w:p>
      <w:pPr>
        <w:spacing w:after="120" w:before="0"/>
      </w:pPr>
    </w:p>
    <w:p>
      <w:pPr>
        <w:pStyle w:val="Heading1"/>
        <w:keepNext/>
        <w:spacing w:after="100" w:before="240"/>
      </w:pPr>
      <w:r>
        <w:rPr>
          <w:rFonts w:ascii="Times New Roman" w:cs="Times New Roman" w:eastAsia="Times New Roman" w:hAnsi="Times New Roman"/>
          <w:b/>
          <w:bCs/>
          <w:sz w:val="28"/>
          <w:szCs w:val="28"/>
        </w:rPr>
        <w:t xml:space="preserve">1. Introducción</w:t>
      </w:r>
    </w:p>
    <w:p>
      <w:pPr>
        <w:spacing w:after="60" w:before="0" w:line="360"/>
        <w:jc w:val="both"/>
      </w:pPr>
      <w:r>
        <w:rPr>
          <w:rFonts w:ascii="Times New Roman" w:cs="Times New Roman" w:eastAsia="Times New Roman" w:hAnsi="Times New Roman"/>
          <w:sz w:val="24"/>
          <w:szCs w:val="24"/>
        </w:rPr>
        <w:t xml:space="preserve">En esta guía dejamos por escrito cómo vamos a desarrollar el Sistema de Ventas de Aparatos Electrónicos de Escritorio de Empresa StockFlow. Será un programa instalado en computadoras. Lo usaremos mediante ventanas, formularios y menús, con teclado y mouse. No necesitará un navegador y tampoco se construirá como sitio web.</w:t>
      </w:r>
    </w:p>
    <w:p>
      <w:pPr>
        <w:spacing w:after="60" w:before="0" w:line="360"/>
        <w:jc w:val="both"/>
      </w:pPr>
      <w:r>
        <w:rPr>
          <w:rFonts w:ascii="Times New Roman" w:cs="Times New Roman" w:eastAsia="Times New Roman" w:hAnsi="Times New Roman"/>
          <w:sz w:val="24"/>
          <w:szCs w:val="24"/>
        </w:rPr>
        <w:t xml:space="preserve">Trabajaremos con dos procesos principales. En el primero construiremos el sistema poco a poco, con incrementos pequeños que podamos probar y revisar. En el segundo nos ocuparemos de que el programa pueda crecer en datos, módulos y equipos sin tener que empezar de nuevo. También habrá tareas de calidad, cambios, configuración y documentación. Esas tareas acompañan a los dos procesos; no forman procesos principales aparte.</w:t>
      </w:r>
    </w:p>
    <w:p>
      <w:pPr>
        <w:pStyle w:val="Heading1"/>
        <w:keepNext/>
        <w:spacing w:after="100" w:before="240"/>
      </w:pPr>
      <w:r>
        <w:rPr>
          <w:rFonts w:ascii="Times New Roman" w:cs="Times New Roman" w:eastAsia="Times New Roman" w:hAnsi="Times New Roman"/>
          <w:b/>
          <w:bCs/>
          <w:sz w:val="28"/>
          <w:szCs w:val="28"/>
        </w:rPr>
        <w:t xml:space="preserve">2. Objetivo y alcance</w:t>
      </w:r>
    </w:p>
    <w:p>
      <w:pPr>
        <w:spacing w:after="60" w:before="0" w:line="360"/>
        <w:jc w:val="both"/>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Queremos que el equipo siga una forma de trabajo clara, repetible y fácil de rastrear mientras construimos y ampliamos la aplicación de escritorio. Para lograrlo, avanzaremos por iteraciones y revisaremos la escalabilidad desde cada versión.</w:t>
      </w:r>
    </w:p>
    <w:p>
      <w:pPr>
        <w:spacing w:after="60" w:before="0" w:line="360"/>
        <w:jc w:val="both"/>
      </w:pPr>
      <w:r>
        <w:rPr>
          <w:rFonts w:ascii="Times New Roman" w:cs="Times New Roman" w:eastAsia="Times New Roman" w:hAnsi="Times New Roman"/>
          <w:b/>
          <w:bCs/>
          <w:sz w:val="24"/>
          <w:szCs w:val="24"/>
        </w:rPr>
        <w:t xml:space="preserve">Dentro del alcance.</w:t>
      </w:r>
      <w:r>
        <w:rPr>
          <w:rFonts w:ascii="Times New Roman" w:cs="Times New Roman" w:eastAsia="Times New Roman" w:hAnsi="Times New Roman"/>
          <w:sz w:val="24"/>
          <w:szCs w:val="24"/>
        </w:rPr>
        <w:t xml:space="preserve"> Trabajaremos con catálogo de productos, existencias, lista de venta, cálculo del total con IVA, venta de mostrador con folio único, clientes para facturación (datos personales y fiscales, consolidado de compras) y el perfil del vendedor. También incluiremos almacenamiento persistente, instalación, actualización y respaldo en Windows 10 y Windows 11 de 64 bits.</w:t>
      </w:r>
    </w:p>
    <w:p>
      <w:pPr>
        <w:spacing w:after="60" w:before="0" w:line="360"/>
        <w:jc w:val="both"/>
      </w:pPr>
      <w:r>
        <w:rPr>
          <w:rFonts w:ascii="Times New Roman" w:cs="Times New Roman" w:eastAsia="Times New Roman" w:hAnsi="Times New Roman"/>
          <w:b/>
          <w:bCs/>
          <w:sz w:val="24"/>
          <w:szCs w:val="24"/>
        </w:rPr>
        <w:t xml:space="preserve">Fuera del alcance.</w:t>
      </w:r>
      <w:r>
        <w:rPr>
          <w:rFonts w:ascii="Times New Roman" w:cs="Times New Roman" w:eastAsia="Times New Roman" w:hAnsi="Times New Roman"/>
          <w:sz w:val="24"/>
          <w:szCs w:val="24"/>
        </w:rPr>
        <w:t xml:space="preserve"> No construiremos un sitio web ni una versión para teléfonos o tabletas. Tampoco procesaremos pagos bancarios reales, emitiremos facturas fiscales (CFDI), publicaremos el sistema en Internet ni pediremos autenticación obligatoria para consultar el catálogo.</w:t>
      </w:r>
    </w:p>
    <w:p>
      <w:pPr>
        <w:pStyle w:val="Heading1"/>
        <w:keepNext/>
        <w:spacing w:after="100" w:before="240"/>
      </w:pPr>
      <w:r>
        <w:rPr>
          <w:rFonts w:ascii="Times New Roman" w:cs="Times New Roman" w:eastAsia="Times New Roman" w:hAnsi="Times New Roman"/>
          <w:b/>
          <w:bCs/>
          <w:sz w:val="28"/>
          <w:szCs w:val="28"/>
        </w:rPr>
        <w:t xml:space="preserve">3. Modelo general basado en dos procesos</w:t>
      </w:r>
    </w:p>
    <w:p>
      <w:pPr>
        <w:spacing w:after="60" w:before="0" w:line="360"/>
        <w:jc w:val="both"/>
      </w:pPr>
      <w:r>
        <w:rPr>
          <w:rFonts w:ascii="Times New Roman" w:cs="Times New Roman" w:eastAsia="Times New Roman" w:hAnsi="Times New Roman"/>
          <w:sz w:val="24"/>
          <w:szCs w:val="24"/>
        </w:rPr>
        <w:t xml:space="preserve">Organizaremos el proyecto con los dos procesos de la tabla. De cada uno salen subprocesos concretos. Todos tienen una entrada, un trabajo definido, una persona responsable y una salida que podamos comprobar.</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700"/>
        <w:gridCol w:w="3073"/>
      </w:tblGrid>
      <w:tr>
        <w:trPr>
          <w:cantSplit/>
          <w:tblHeader/>
        </w:trPr>
        <w:tc>
          <w:tcPr>
            <w:tcW w:type="dxa" w:w="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Código</w:t>
            </w:r>
          </w:p>
        </w:tc>
        <w:tc>
          <w:tcPr>
            <w:tcW w:type="dxa" w:w="23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Proceso principal</w:t>
            </w:r>
          </w:p>
        </w:tc>
        <w:tc>
          <w:tcPr>
            <w:tcW w:type="dxa" w:w="3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Propósito</w:t>
            </w:r>
          </w:p>
        </w:tc>
        <w:tc>
          <w:tcPr>
            <w:tcW w:type="dxa" w:w="3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Resultado</w:t>
            </w:r>
          </w:p>
        </w:tc>
      </w:tr>
      <w:tr>
        <w:trPr>
          <w:cantSplit/>
        </w:trPr>
        <w:tc>
          <w:tcPr>
            <w:tcW w:type="dxa" w:w="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w:t>
            </w:r>
          </w:p>
        </w:tc>
        <w:tc>
          <w:tcPr>
            <w:tcW w:type="dxa" w:w="2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Desarrollo iterativo</w:t>
            </w:r>
          </w:p>
        </w:tc>
        <w:tc>
          <w:tcPr>
            <w:tcW w:type="dxa" w:w="3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Entregar funciones útiles en incrementos cortos, probados y revisables por el cliente.</w:t>
            </w:r>
          </w:p>
        </w:tc>
        <w:tc>
          <w:tcPr>
            <w:tcW w:type="dxa" w:w="3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Incremento ejecutable, aceptado o devuelto con observaciones.</w:t>
            </w:r>
          </w:p>
        </w:tc>
      </w:tr>
      <w:tr>
        <w:trPr>
          <w:cantSplit/>
        </w:trPr>
        <w:tc>
          <w:tcPr>
            <w:tcW w:type="dxa" w:w="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w:t>
            </w:r>
          </w:p>
        </w:tc>
        <w:tc>
          <w:tcPr>
            <w:tcW w:type="dxa" w:w="2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Evolución y escalabilidad</w:t>
            </w:r>
          </w:p>
        </w:tc>
        <w:tc>
          <w:tcPr>
            <w:tcW w:type="dxa" w:w="3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Preparar cada versión para crecer sin perder estabilidad ni trazabilidad.</w:t>
            </w:r>
          </w:p>
        </w:tc>
        <w:tc>
          <w:tcPr>
            <w:tcW w:type="dxa" w:w="3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Versión optimizada, ampliable y lista para liberar.</w:t>
            </w:r>
          </w:p>
        </w:tc>
      </w:tr>
    </w:tbl>
    <w:p>
      <w:pPr>
        <w:spacing w:after="60" w:before="80" w:line="360"/>
        <w:jc w:val="both"/>
      </w:pPr>
      <w:r>
        <w:rPr>
          <w:rFonts w:ascii="Times New Roman" w:cs="Times New Roman" w:eastAsia="Times New Roman" w:hAnsi="Times New Roman"/>
          <w:sz w:val="24"/>
          <w:szCs w:val="24"/>
        </w:rPr>
        <w:t xml:space="preserve">Trabajaremos con P1 y P2 como dos procesos conectados. P1 dejará entregas parciales útiles desde las primeras iteraciones; P2 medirá cada versión y preparará su crecimiento. Al cerrar un incremento, el cliente revisará el resultado con el equipo. Lo que siga se decidirá con tres datos a la vista: valor de negocio, esfuerzo y riesgo.</w:t>
      </w:r>
    </w:p>
    <w:p>
      <w:pPr>
        <w:pStyle w:val="Heading1"/>
        <w:keepNext/>
        <w:spacing w:after="100" w:before="240"/>
      </w:pPr>
      <w:r>
        <w:rPr>
          <w:rFonts w:ascii="Times New Roman" w:cs="Times New Roman" w:eastAsia="Times New Roman" w:hAnsi="Times New Roman"/>
          <w:b/>
          <w:bCs/>
          <w:sz w:val="28"/>
          <w:szCs w:val="28"/>
        </w:rPr>
        <w:t xml:space="preserve">4. Proceso P1 Desarrollo iterativo</w:t>
      </w:r>
    </w:p>
    <w:p>
      <w:pPr>
        <w:spacing w:after="60" w:before="0" w:line="360"/>
        <w:jc w:val="both"/>
      </w:pPr>
      <w:r>
        <w:rPr>
          <w:rFonts w:ascii="Times New Roman" w:cs="Times New Roman" w:eastAsia="Times New Roman" w:hAnsi="Times New Roman"/>
          <w:sz w:val="24"/>
          <w:szCs w:val="24"/>
        </w:rPr>
        <w:t xml:space="preserve">En P1 cada incremento recorrerá análisis, diseño, código y prueba. El alcance será pequeño y quedará acordado antes de empezar. Al terminar, mostraremos una versión ejecutable al cliente, anotaremos sus observaciones y decidiremos si la entrega se acepta o vuelve a corrección.</w:t>
      </w:r>
    </w:p>
    <w:p>
      <w:pPr>
        <w:pStyle w:val="Heading1"/>
        <w:keepNext/>
        <w:spacing w:after="100" w:before="240"/>
      </w:pPr>
      <w:r>
        <w:rPr>
          <w:rFonts w:ascii="Times New Roman" w:cs="Times New Roman" w:eastAsia="Times New Roman" w:hAnsi="Times New Roman"/>
          <w:b/>
          <w:bCs/>
          <w:sz w:val="28"/>
          <w:szCs w:val="28"/>
        </w:rPr>
        <w:t xml:space="preserve">5. Funcionamiento de las iteraciones de P1</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Priorizamos:</w:t>
      </w:r>
      <w:r>
        <w:rPr>
          <w:rFonts w:ascii="Times New Roman" w:cs="Times New Roman" w:eastAsia="Times New Roman" w:hAnsi="Times New Roman"/>
          <w:sz w:val="24"/>
          <w:szCs w:val="24"/>
        </w:rPr>
        <w:t xml:space="preserve"> elegimos con el cliente el objetivo que aporta más valor, considerando el esfuerzo, el riesgo y las dependencias.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Analizamos:</w:t>
      </w:r>
      <w:r>
        <w:rPr>
          <w:rFonts w:ascii="Times New Roman" w:cs="Times New Roman" w:eastAsia="Times New Roman" w:hAnsi="Times New Roman"/>
          <w:sz w:val="24"/>
          <w:szCs w:val="24"/>
        </w:rPr>
        <w:t xml:space="preserve"> detallamos el alcance, los requisitos funcionales y no funcionales, y los criterios de aceptación del incremento.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Diseñamos y construimos:</w:t>
      </w:r>
      <w:r>
        <w:rPr>
          <w:rFonts w:ascii="Times New Roman" w:cs="Times New Roman" w:eastAsia="Times New Roman" w:hAnsi="Times New Roman"/>
          <w:sz w:val="24"/>
          <w:szCs w:val="24"/>
        </w:rPr>
        <w:t xml:space="preserve"> preparamos ventanas, datos e interfaces; después programamos e integramos la entrega.</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Probamos y entregamos:</w:t>
      </w:r>
      <w:r>
        <w:rPr>
          <w:rFonts w:ascii="Times New Roman" w:cs="Times New Roman" w:eastAsia="Times New Roman" w:hAnsi="Times New Roman"/>
          <w:sz w:val="24"/>
          <w:szCs w:val="24"/>
        </w:rPr>
        <w:t xml:space="preserve"> verificamos funciones, datos, instalación y regresión antes de mostrar el incremento al cliente.</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Escuchamos y ajustamos:</w:t>
      </w:r>
      <w:r>
        <w:rPr>
          <w:rFonts w:ascii="Times New Roman" w:cs="Times New Roman" w:eastAsia="Times New Roman" w:hAnsi="Times New Roman"/>
          <w:sz w:val="24"/>
          <w:szCs w:val="24"/>
        </w:rPr>
        <w:t xml:space="preserve"> registramos la retroalimentación, los defectos y las prioridades nuevas antes de comenzar el siguiente incremento.</w:t>
      </w:r>
    </w:p>
    <w:p>
      <w:pPr>
        <w:spacing w:after="60" w:before="60" w:line="360"/>
        <w:jc w:val="both"/>
      </w:pPr>
      <w:r>
        <w:rPr>
          <w:rFonts w:ascii="Times New Roman" w:cs="Times New Roman" w:eastAsia="Times New Roman" w:hAnsi="Times New Roman"/>
          <w:sz w:val="24"/>
          <w:szCs w:val="24"/>
        </w:rPr>
        <w:t xml:space="preserve">La secuencia prevista será: incremento 1, catálogo y existencias; incremento 2, lista de venta y total; incremento 3, venta confirmada con folio; incremento 4, instalación, respaldo y recuperación; incremento 5, clientes y vendedor. Por su dependencia con la venta (el vendedor y el cliente opcional se guardan en cada venta), el incremento 5 se desarrolla en paralelo con el incremento 3 y debe quedar integrado antes de cerrarlo. Cada incremento pasará por análisis, diseño, código y prueba, y terminará con una entrega revisable. Si un incremento no cumple su salida, volverá al subproceso responsable y no se convertirá en línea base.</w:t>
      </w:r>
    </w:p>
    <w:p>
      <w:pPr>
        <w:pStyle w:val="Heading1"/>
        <w:keepNext/>
        <w:spacing w:after="100" w:before="240"/>
      </w:pPr>
      <w:r>
        <w:rPr>
          <w:rFonts w:ascii="Times New Roman" w:cs="Times New Roman" w:eastAsia="Times New Roman" w:hAnsi="Times New Roman"/>
          <w:b/>
          <w:bCs/>
          <w:sz w:val="28"/>
          <w:szCs w:val="28"/>
        </w:rPr>
        <w:t xml:space="preserve">6. Plan de incrementos y valor para el cliente</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2400"/>
        <w:gridCol w:w="3273"/>
      </w:tblGrid>
      <w:tr>
        <w:trPr>
          <w:cantSplit/>
          <w:tblHeader/>
        </w:trPr>
        <w:tc>
          <w:tcPr>
            <w:tcW w:type="dxa" w:w="1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Incremento</w:t>
            </w:r>
          </w:p>
        </w:tc>
        <w:tc>
          <w:tcPr>
            <w:tcW w:type="dxa" w:w="33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Objetivo para el cliente</w:t>
            </w:r>
          </w:p>
        </w:tc>
        <w:tc>
          <w:tcPr>
            <w:tcW w:type="dxa" w:w="24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Recorrido interno</w:t>
            </w:r>
          </w:p>
        </w:tc>
        <w:tc>
          <w:tcPr>
            <w:tcW w:type="dxa" w:w="32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Entrega y revisión</w:t>
            </w:r>
          </w:p>
        </w:tc>
      </w:tr>
      <w:tr>
        <w:trPr>
          <w:cantSplit/>
        </w:trPr>
        <w:tc>
          <w:tcPr>
            <w:tcW w:type="dxa" w:w="1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w:t>
            </w:r>
          </w:p>
        </w:tc>
        <w:tc>
          <w:tcPr>
            <w:tcW w:type="dxa" w:w="3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Consultar catálogo, precio y existencia.</w:t>
            </w:r>
          </w:p>
        </w:tc>
        <w:tc>
          <w:tcPr>
            <w:tcW w:type="dxa" w:w="2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Catálogo funcional; el cliente revisa su utilidad y los datos mostrados.</w:t>
            </w:r>
          </w:p>
        </w:tc>
      </w:tr>
      <w:tr>
        <w:trPr>
          <w:cantSplit/>
        </w:trPr>
        <w:tc>
          <w:tcPr>
            <w:tcW w:type="dxa" w:w="1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w:t>
            </w:r>
          </w:p>
        </w:tc>
        <w:tc>
          <w:tcPr>
            <w:tcW w:type="dxa" w:w="3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Preparar la compra y conocer el total con IVA.</w:t>
            </w:r>
          </w:p>
        </w:tc>
        <w:tc>
          <w:tcPr>
            <w:tcW w:type="dxa" w:w="2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de venta funcional; el cliente revisa la operación y el cálculo.</w:t>
            </w:r>
          </w:p>
        </w:tc>
      </w:tr>
      <w:tr>
        <w:trPr>
          <w:cantSplit/>
        </w:trPr>
        <w:tc>
          <w:tcPr>
            <w:tcW w:type="dxa" w:w="1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3</w:t>
            </w:r>
          </w:p>
        </w:tc>
        <w:tc>
          <w:tcPr>
            <w:tcW w:type="dxa" w:w="3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la venta con su vendedor y cliente opcional, y generar el folio.</w:t>
            </w:r>
          </w:p>
        </w:tc>
        <w:tc>
          <w:tcPr>
            <w:tcW w:type="dxa" w:w="2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 registrada con folio; el cliente revisa los datos y el flujo completo.</w:t>
            </w:r>
          </w:p>
        </w:tc>
      </w:tr>
      <w:tr>
        <w:trPr>
          <w:cantSplit/>
        </w:trPr>
        <w:tc>
          <w:tcPr>
            <w:tcW w:type="dxa" w:w="1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4</w:t>
            </w:r>
          </w:p>
        </w:tc>
        <w:tc>
          <w:tcPr>
            <w:tcW w:type="dxa" w:w="3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Instalar, respaldar y recuperar la información.</w:t>
            </w:r>
          </w:p>
        </w:tc>
        <w:tc>
          <w:tcPr>
            <w:tcW w:type="dxa" w:w="2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Versión instalable; cliente y equipo validan la operación y el cierre.</w:t>
            </w:r>
          </w:p>
        </w:tc>
      </w:tr>
      <w:tr>
        <w:trPr>
          <w:cantSplit/>
        </w:trPr>
        <w:tc>
          <w:tcPr>
            <w:tcW w:type="dxa" w:w="1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5</w:t>
            </w:r>
          </w:p>
        </w:tc>
        <w:tc>
          <w:tcPr>
            <w:tcW w:type="dxa" w:w="3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clientes para facturar, consultar su historial y mantener el perfil del vendedor.</w:t>
            </w:r>
          </w:p>
        </w:tc>
        <w:tc>
          <w:tcPr>
            <w:tcW w:type="dxa" w:w="2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Módulo de clientes y vendedor; el cliente revisa registro, validaciones, búsqueda y consolidado.</w:t>
            </w:r>
          </w:p>
        </w:tc>
      </w:tr>
    </w:tbl>
    <w:p>
      <w:pPr>
        <w:pStyle w:val="Heading1"/>
        <w:keepNext/>
        <w:spacing w:after="100" w:before="240"/>
      </w:pPr>
      <w:r>
        <w:rPr>
          <w:rFonts w:ascii="Times New Roman" w:cs="Times New Roman" w:eastAsia="Times New Roman" w:hAnsi="Times New Roman"/>
          <w:b/>
          <w:bCs/>
          <w:sz w:val="28"/>
          <w:szCs w:val="28"/>
        </w:rPr>
        <w:t xml:space="preserve">7. Proceso P2 Evolución y escalabilidad</w:t>
      </w:r>
    </w:p>
    <w:p>
      <w:pPr>
        <w:spacing w:after="60" w:before="0" w:line="360"/>
        <w:jc w:val="both"/>
      </w:pPr>
      <w:r>
        <w:rPr>
          <w:rFonts w:ascii="Times New Roman" w:cs="Times New Roman" w:eastAsia="Times New Roman" w:hAnsi="Times New Roman"/>
          <w:sz w:val="24"/>
          <w:szCs w:val="24"/>
        </w:rPr>
        <w:t xml:space="preserve">P2 empieza cuando necesitamos saber si el programa seguirá funcionando bien al crecer. Revisamos el aumento de datos (productos, ventas y clientes), funciones y equipos donde se instalará. Si hace falta mejorar algo, lo hacemos de forma controlada y cuidamos que las funciones ya aprobadas sigan comportándose igual.</w:t>
      </w:r>
    </w:p>
    <w:p>
      <w:pPr>
        <w:pStyle w:val="Heading1"/>
        <w:keepNext/>
        <w:spacing w:after="100" w:before="240"/>
      </w:pPr>
      <w:r>
        <w:rPr>
          <w:rFonts w:ascii="Times New Roman" w:cs="Times New Roman" w:eastAsia="Times New Roman" w:hAnsi="Times New Roman"/>
          <w:b/>
          <w:bCs/>
          <w:sz w:val="28"/>
          <w:szCs w:val="28"/>
        </w:rPr>
        <w:t xml:space="preserve">8. Criterios técnicos de escalabilidad</w:t>
      </w:r>
    </w:p>
    <w:p>
      <w:pPr>
        <w:pStyle w:val="ListParagraph"/>
        <w:numPr>
          <w:ilvl w:val="0"/>
          <w:numId w:val="3"/>
        </w:numPr>
        <w:spacing w:after="40" w:line="320"/>
        <w:jc w:val="both"/>
      </w:pPr>
      <w:r>
        <w:rPr>
          <w:rFonts w:ascii="Times New Roman" w:cs="Times New Roman" w:eastAsia="Times New Roman" w:hAnsi="Times New Roman"/>
          <w:sz w:val="24"/>
          <w:szCs w:val="24"/>
        </w:rPr>
        <w:t xml:space="preserve">Separaremos la presentación, la lógica del negocio y el acceso a datos. Así podremos sustituir una parte sin reescribir las demás.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Cada componente tendrá una responsabilidad clara y se comunicará mediante interfaces definidas.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Usaremos consultas filtradas, índices y carga por bloques para no leer todo el catálogo, todos los clientes o todas las ventas de una sola vez.</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Dejaremos fuera del código las rutas, la conexión de datos, las copias de seguridad y los parámetros de instalación.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Prepararemos migraciones controladas para pasar del almacenamiento local a una base compartida sin cambiar la lógica principal.</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Después de optimizar, refactorizar o migrar datos, volveremos a ejecutar las pruebas de regresión.</w:t>
      </w:r>
    </w:p>
    <w:p>
      <w:pPr>
        <w:pStyle w:val="Heading1"/>
        <w:keepNext/>
        <w:spacing w:after="100" w:before="240"/>
      </w:pPr>
      <w:r>
        <w:rPr>
          <w:rFonts w:ascii="Times New Roman" w:cs="Times New Roman" w:eastAsia="Times New Roman" w:hAnsi="Times New Roman"/>
          <w:b/>
          <w:bCs/>
          <w:sz w:val="28"/>
          <w:szCs w:val="28"/>
        </w:rPr>
        <w:t xml:space="preserve">9. Correspondencia con las etapas oficiales</w:t>
      </w:r>
    </w:p>
    <w:p>
      <w:pPr>
        <w:spacing w:after="60" w:before="0" w:line="360"/>
        <w:jc w:val="both"/>
      </w:pPr>
      <w:r>
        <w:rPr>
          <w:rFonts w:ascii="Times New Roman" w:cs="Times New Roman" w:eastAsia="Times New Roman" w:hAnsi="Times New Roman"/>
          <w:sz w:val="24"/>
          <w:szCs w:val="24"/>
        </w:rPr>
        <w:t xml:space="preserve">Aunque trabajaremos con P1 y P2, conservaremos los acrónimos oficiales de etapa (LAN, ESTRA, PLA, REQ, DIS, IMP, PRU, POS) porque indican en qué momento del ciclo estamos. Nos sirven como referencia. No los trataremos como ocho procesos separados.</w:t>
      </w:r>
    </w:p>
    <w:p>
      <w:pPr>
        <w:pStyle w:val="Heading1"/>
        <w:keepNext/>
        <w:spacing w:after="100" w:before="240"/>
      </w:pPr>
      <w:r>
        <w:rPr>
          <w:rFonts w:ascii="Times New Roman" w:cs="Times New Roman" w:eastAsia="Times New Roman" w:hAnsi="Times New Roman"/>
          <w:b/>
          <w:bCs/>
          <w:sz w:val="28"/>
          <w:szCs w:val="28"/>
        </w:rPr>
        <w:t xml:space="preserve">10. Roles y responsabilidades</w:t>
      </w:r>
    </w:p>
    <w:p>
      <w:pPr>
        <w:spacing w:after="60" w:before="0" w:line="360"/>
        <w:jc w:val="both"/>
      </w:pPr>
      <w:r>
        <w:rPr>
          <w:rFonts w:ascii="Times New Roman" w:cs="Times New Roman" w:eastAsia="Times New Roman" w:hAnsi="Times New Roman"/>
          <w:sz w:val="24"/>
          <w:szCs w:val="24"/>
        </w:rPr>
        <w:t xml:space="preserve">Para que el trabajo no quede sin dueño, asignamos cada decisión y cada entrega a un rol. Aun así, revisaremos los resultados en equipo cuando afecten a más de un área.</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4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Acrónimo</w:t>
            </w:r>
          </w:p>
        </w:tc>
        <w:tc>
          <w:tcPr>
            <w:tcW w:type="dxa" w:w="2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Rol</w:t>
            </w:r>
          </w:p>
        </w:tc>
        <w:tc>
          <w:tcPr>
            <w:tcW w:type="dxa" w:w="5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Responsabilidades</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Analista</w:t>
            </w:r>
          </w:p>
        </w:tc>
        <w:tc>
          <w:tcPr>
            <w:tcW w:type="dxa" w:w="5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Mantiene requisitos, casos de uso, alcance de iteración y trazabilidad; desarrolla la lógica funcional de venta.</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Arquitecto</w:t>
            </w:r>
          </w:p>
        </w:tc>
        <w:tc>
          <w:tcPr>
            <w:tcW w:type="dxa" w:w="5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Define la modularidad, las interfaces, las pantallas y las decisiones de arquitectura y escalabilidad.</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w:t>
            </w:r>
          </w:p>
        </w:tc>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Diseñador de BD y desarrollador</w:t>
            </w:r>
          </w:p>
        </w:tc>
        <w:tc>
          <w:tcPr>
            <w:tcW w:type="dxa" w:w="5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Diseña los datos, construye componentes (incluido el módulo de clientes y vendedor), mejora consultas y prepara migraciones.</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Calidad y tester</w:t>
            </w:r>
          </w:p>
        </w:tc>
        <w:tc>
          <w:tcPr>
            <w:tcW w:type="dxa" w:w="5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Prepara y ejecuta pruebas, revisa salidas, atiende incidencias y autoriza líneas base.</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Equipo de Desarrollo</w:t>
            </w:r>
          </w:p>
        </w:tc>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Responsable colectivo</w:t>
            </w:r>
          </w:p>
        </w:tc>
        <w:tc>
          <w:tcPr>
            <w:tcW w:type="dxa" w:w="5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Integra, empaqueta e instala el programa. También mantiene el Manual Técnico.</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Equipo del Proyecto</w:t>
            </w:r>
          </w:p>
        </w:tc>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Responsable colectivo</w:t>
            </w:r>
          </w:p>
        </w:tc>
        <w:tc>
          <w:tcPr>
            <w:tcW w:type="dxa" w:w="5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Revisa los incrementos, prepara el Manual de Usuario y participa en el cierre.</w:t>
            </w:r>
          </w:p>
        </w:tc>
      </w:tr>
    </w:tbl>
    <w:p>
      <w:pPr>
        <w:pStyle w:val="Heading1"/>
        <w:keepNext/>
        <w:spacing w:after="100" w:before="240"/>
      </w:pPr>
      <w:r>
        <w:rPr>
          <w:rFonts w:ascii="Times New Roman" w:cs="Times New Roman" w:eastAsia="Times New Roman" w:hAnsi="Times New Roman"/>
          <w:b/>
          <w:bCs/>
          <w:sz w:val="28"/>
          <w:szCs w:val="28"/>
        </w:rPr>
        <w:t xml:space="preserve">11. Productos de trabajo</w:t>
      </w:r>
    </w:p>
    <w:p>
      <w:pPr>
        <w:spacing w:after="60" w:before="0" w:line="360"/>
        <w:jc w:val="both"/>
      </w:pPr>
      <w:r>
        <w:rPr>
          <w:rFonts w:ascii="Times New Roman" w:cs="Times New Roman" w:eastAsia="Times New Roman" w:hAnsi="Times New Roman"/>
          <w:sz w:val="24"/>
          <w:szCs w:val="24"/>
        </w:rPr>
        <w:t xml:space="preserve">No todos los subprocesos terminan en código. También iremos dejando documentos, modelos y evidencias que expliquen qué hicimos y cómo lo comprobamos.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9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Artefacto</w:t>
            </w:r>
          </w:p>
        </w:tc>
        <w:tc>
          <w:tcPr>
            <w:tcW w:type="dxa" w:w="5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Contenido</w:t>
            </w:r>
          </w:p>
        </w:tc>
        <w:tc>
          <w:tcPr>
            <w:tcW w:type="dxa" w:w="29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Origen</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EDOC</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Estandarización de artefactos</w:t>
            </w:r>
          </w:p>
        </w:tc>
        <w:tc>
          <w:tcPr>
            <w:tcW w:type="dxa" w:w="2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PDS</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Esta guía de trabajo con P1 y P2</w:t>
            </w:r>
          </w:p>
        </w:tc>
        <w:tc>
          <w:tcPr>
            <w:tcW w:type="dxa" w:w="2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SRS / CDU</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Requisitos y casos de uso</w:t>
            </w:r>
          </w:p>
        </w:tc>
        <w:tc>
          <w:tcPr>
            <w:tcW w:type="dxa" w:w="2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 / DBD</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Arquitectura modular y diseño de datos</w:t>
            </w:r>
          </w:p>
        </w:tc>
        <w:tc>
          <w:tcPr>
            <w:tcW w:type="dxa" w:w="2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P1.3 / P2.3</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MTR</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Matriz de trazabilidad y control de cambios</w:t>
            </w:r>
          </w:p>
        </w:tc>
        <w:tc>
          <w:tcPr>
            <w:tcW w:type="dxa" w:w="2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Transversal</w:t>
            </w:r>
          </w:p>
        </w:tc>
      </w:tr>
    </w:tbl>
    <w:p>
      <w:pPr>
        <w:pStyle w:val="Heading1"/>
        <w:keepNext/>
        <w:spacing w:after="100" w:before="240"/>
      </w:pPr>
      <w:r>
        <w:rPr>
          <w:rFonts w:ascii="Times New Roman" w:cs="Times New Roman" w:eastAsia="Times New Roman" w:hAnsi="Times New Roman"/>
          <w:b/>
          <w:bCs/>
          <w:sz w:val="28"/>
          <w:szCs w:val="28"/>
        </w:rPr>
        <w:t xml:space="preserve">12. Herramientas y estándares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3000"/>
        <w:gridCol w:w="6973"/>
      </w:tblGrid>
      <w:tr>
        <w:trPr>
          <w:cantSplit/>
          <w:tblHeader/>
        </w:trPr>
        <w:tc>
          <w:tcPr>
            <w:tcW w:type="dxa" w:w="3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Herramienta</w:t>
            </w:r>
          </w:p>
        </w:tc>
        <w:tc>
          <w:tcPr>
            <w:tcW w:type="dxa" w:w="69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Uso autorizado</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Microsoft Word</w:t>
            </w:r>
          </w:p>
        </w:tc>
        <w:tc>
          <w:tcPr>
            <w:tcW w:type="dxa" w:w="6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Documentos editables .docx y exportación oficial a PDF.</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Microsoft Excel / TSPi</w:t>
            </w:r>
          </w:p>
        </w:tc>
        <w:tc>
          <w:tcPr>
            <w:tcW w:type="dxa" w:w="6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Estimaciones, tiempos, métricas y seguimiento.</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StarUML / Draw.io</w:t>
            </w:r>
          </w:p>
        </w:tc>
        <w:tc>
          <w:tcPr>
            <w:tcW w:type="dxa" w:w="6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Diagramas UML, componentes y modelo entidad-relación.</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Git / GitHub</w:t>
            </w:r>
          </w:p>
        </w:tc>
        <w:tc>
          <w:tcPr>
            <w:tcW w:type="dxa" w:w="6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Versiones del código, documentación y etiquetas de liberación.</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IDE aprobado</w:t>
            </w:r>
          </w:p>
        </w:tc>
        <w:tc>
          <w:tcPr>
            <w:tcW w:type="dxa" w:w="6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Programación, depuración, construcción del ejecutable e instalador.</w:t>
            </w:r>
          </w:p>
        </w:tc>
      </w:tr>
    </w:tbl>
    <w:p>
      <w:pPr>
        <w:spacing w:after="60" w:before="80" w:line="360"/>
        <w:jc w:val="both"/>
      </w:pPr>
      <w:r>
        <w:rPr>
          <w:rFonts w:ascii="Times New Roman" w:cs="Times New Roman" w:eastAsia="Times New Roman" w:hAnsi="Times New Roman"/>
          <w:sz w:val="24"/>
          <w:szCs w:val="24"/>
        </w:rPr>
        <w:t xml:space="preserve">Seguiremos INV_EDOC_V1_1_190309_A y el Documento de Estandarización de Artefactos del Proyecto. IEEE 830 e ISO/IEC/IEEE 12207 quedarán como referencias técnicas. Si encontramos una diferencia entre los documentos sobre la tipografía, usaremos Times New Roman de 8 puntos en el Control de Versiones y en las tablas.</w:t>
      </w:r>
    </w:p>
    <w:p>
      <w:pPr>
        <w:pStyle w:val="Heading1"/>
        <w:keepNext/>
        <w:spacing w:after="100" w:before="240"/>
      </w:pPr>
      <w:r>
        <w:rPr>
          <w:rFonts w:ascii="Times New Roman" w:cs="Times New Roman" w:eastAsia="Times New Roman" w:hAnsi="Times New Roman"/>
          <w:b/>
          <w:bCs/>
          <w:sz w:val="28"/>
          <w:szCs w:val="28"/>
        </w:rPr>
        <w:t xml:space="preserve">13. Criterios de entrada y salida de los subprocesos</w:t>
      </w:r>
    </w:p>
    <w:p>
      <w:pPr>
        <w:spacing w:after="60" w:before="0" w:line="360"/>
        <w:jc w:val="both"/>
      </w:pPr>
      <w:r>
        <w:rPr>
          <w:rFonts w:ascii="Times New Roman" w:cs="Times New Roman" w:eastAsia="Times New Roman" w:hAnsi="Times New Roman"/>
          <w:sz w:val="24"/>
          <w:szCs w:val="24"/>
        </w:rPr>
        <w:t xml:space="preserve">Un subproceso empieza cuando su entrada está disponible. No lo daremos por terminado hasta contar con la salida indicada; si falta evidencia, el trabajo permanece abierto.</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73"/>
      </w:tblGrid>
      <w:tr>
        <w:trPr>
          <w:cantSplit/>
          <w:tblHeader/>
        </w:trPr>
        <w:tc>
          <w:tcPr>
            <w:tcW w:type="dxa" w:w="1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Subproceso</w:t>
            </w:r>
          </w:p>
        </w:tc>
        <w:tc>
          <w:tcPr>
            <w:tcW w:type="dxa" w:w="4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Entrada</w:t>
            </w:r>
          </w:p>
        </w:tc>
        <w:tc>
          <w:tcPr>
            <w:tcW w:type="dxa" w:w="42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Salida</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P1.1</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Tenemos el objetivo y las prioridades.</w:t>
            </w:r>
          </w:p>
        </w:tc>
        <w:tc>
          <w:tcPr>
            <w:tcW w:type="dxa" w:w="4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Aprobamos alcance, responsables y tiempo.</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P1.2</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alcance de la iteración está aprobado.</w:t>
            </w:r>
          </w:p>
        </w:tc>
        <w:tc>
          <w:tcPr>
            <w:tcW w:type="dxa" w:w="4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requisitos son claros, trazables y verificables.</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P1.3</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requisitos están aprobados.</w:t>
            </w:r>
          </w:p>
        </w:tc>
        <w:tc>
          <w:tcPr>
            <w:tcW w:type="dxa" w:w="4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diseño modular es suficiente y ya fue revisado.</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P1.4</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Contamos con diseño y ambiente.</w:t>
            </w:r>
          </w:p>
        </w:tc>
        <w:tc>
          <w:tcPr>
            <w:tcW w:type="dxa" w:w="4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ejecutable está integrado y versionado.</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P1.5</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versión es estable y los CPR están listos.</w:t>
            </w:r>
          </w:p>
        </w:tc>
        <w:tc>
          <w:tcPr>
            <w:tcW w:type="dxa" w:w="4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Registramos resultados y cerramos los defectos críticos.</w:t>
            </w:r>
          </w:p>
        </w:tc>
      </w:tr>
    </w:tbl>
    <w:p>
      <w:pPr>
        <w:pStyle w:val="Heading1"/>
        <w:keepNext/>
        <w:spacing w:after="100" w:before="240"/>
      </w:pPr>
      <w:r>
        <w:rPr>
          <w:rFonts w:ascii="Times New Roman" w:cs="Times New Roman" w:eastAsia="Times New Roman" w:hAnsi="Times New Roman"/>
          <w:b/>
          <w:bCs/>
          <w:sz w:val="28"/>
          <w:szCs w:val="28"/>
        </w:rPr>
        <w:t xml:space="preserve">14. Requisitos y criterios de calidad de escritorio</w:t>
      </w:r>
    </w:p>
    <w:p>
      <w:pPr>
        <w:spacing w:after="60" w:before="0" w:line="360"/>
        <w:jc w:val="both"/>
      </w:pPr>
      <w:r>
        <w:rPr>
          <w:rFonts w:ascii="Times New Roman" w:cs="Times New Roman" w:eastAsia="Times New Roman" w:hAnsi="Times New Roman"/>
          <w:sz w:val="24"/>
          <w:szCs w:val="24"/>
        </w:rPr>
        <w:t xml:space="preserve">Estos criterios resumen qué debe hacer el programa y qué nivel de calidad esperamos, con la misma numeración del SRS. Los comprobaremos con pruebas; una impresión general de que el sistema funciona no será suficiente.</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200"/>
        <w:gridCol w:w="7773"/>
      </w:tblGrid>
      <w:tr>
        <w:trPr>
          <w:cantSplit/>
          <w:tblHeader/>
        </w:trPr>
        <w:tc>
          <w:tcPr>
            <w:tcW w:type="dxa" w:w="2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w:t>
            </w:r>
          </w:p>
        </w:tc>
        <w:tc>
          <w:tcPr>
            <w:tcW w:type="dxa" w:w="77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Criterio de aceptación</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 (Catálogo)</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Desde la ventana principal, el usuario consulta catálogo, precio y existencia, y puede buscar por código, nombre o categoría, sin iniciar sesión.</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 (Lista de venta)</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Cuando agrega, modifica o elimina un producto, el subtotal, el IVA y el total cambian de inmediato y conservan la precisión; no se supera el stock.</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 (Venta y folio)</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confirmar, el programa valida los datos, registra la venta con su vendedor y cliente opcional, descuenta el stock en una sola transacción, limpia la lista y muestra un folio único.</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 (Clientes)</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programa registra, valida, busca, segmenta, actualiza e inactiva clientes sin duplicar RFC ni correo y muestra su consolidado de compras.</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 (Vendedor)</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perfil del vendedor se edita desde su sección y se usa automáticamente en cada venta.</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RNF-01</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Desde 1366 × 768, las ventanas, los textos, las tablas y los controles se ven completos. El programa funciona con teclado y mouse.</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RNF-02</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catálogo, las búsquedas, el recálculo de totales y la búsqueda de clientes responden en 3 segundos como máximo, sin depender de Internet.</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RNF-03</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registro de la venta y el descuento de inventario son atómicos: una falla no deja ventas incompletas ni stock descontado.</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RNF-04 y RNF-05</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base de datos es local y los datos (ventas, folios, existencias, clientes y vendedor) permanecen después de cerrar el programa.</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RNF-06</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respaldo y la restauración conservan su integridad, incluidos los datos de clientes y vendedor.</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RNF-07</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instalador funciona en Windows 10 y Windows 11 de 64 bits.</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RNF-08</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Podemos agregar un módulo mediante componentes e interfaces definidas sin modificar funciones que no están relacionadas.</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RNF-09</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datos personales se guardan solo en la base local y se incluyen en el respaldo.</w:t>
            </w:r>
          </w:p>
        </w:tc>
      </w:tr>
    </w:tbl>
    <w:p>
      <w:pPr>
        <w:pStyle w:val="Heading1"/>
        <w:keepNext/>
        <w:spacing w:after="100" w:before="240"/>
      </w:pPr>
      <w:r>
        <w:rPr>
          <w:rFonts w:ascii="Times New Roman" w:cs="Times New Roman" w:eastAsia="Times New Roman" w:hAnsi="Times New Roman"/>
          <w:b/>
          <w:bCs/>
          <w:sz w:val="28"/>
          <w:szCs w:val="28"/>
        </w:rPr>
        <w:t xml:space="preserve">15. Revisiones, cambios y configuración</w:t>
      </w:r>
    </w:p>
    <w:p>
      <w:pPr>
        <w:spacing w:after="60" w:before="0" w:line="360"/>
        <w:jc w:val="both"/>
      </w:pPr>
      <w:r>
        <w:rPr>
          <w:rFonts w:ascii="Times New Roman" w:cs="Times New Roman" w:eastAsia="Times New Roman" w:hAnsi="Times New Roman"/>
          <w:sz w:val="24"/>
          <w:szCs w:val="24"/>
        </w:rPr>
        <w:t xml:space="preserve">Moveremos cada artefacto por tres estados: [BORRADOR], [EN REVISIÓN] y [APROBADO]. Antes de aprobarlo, KTCG comprobará el contenido, el formato, la trazabilidad y las salidas que le corresponden. La aprobación crea una línea base.</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Registramos:</w:t>
      </w:r>
      <w:r>
        <w:rPr>
          <w:rFonts w:ascii="Times New Roman" w:cs="Times New Roman" w:eastAsia="Times New Roman" w:hAnsi="Times New Roman"/>
          <w:sz w:val="24"/>
          <w:szCs w:val="24"/>
        </w:rPr>
        <w:t xml:space="preserve"> anotamos el cambio, su motivo, la prioridad y los artefactos afectados.</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Revisamos:</w:t>
      </w:r>
      <w:r>
        <w:rPr>
          <w:rFonts w:ascii="Times New Roman" w:cs="Times New Roman" w:eastAsia="Times New Roman" w:hAnsi="Times New Roman"/>
          <w:sz w:val="24"/>
          <w:szCs w:val="24"/>
        </w:rPr>
        <w:t xml:space="preserve"> medimos el impacto en P1, P2, los datos, la instalación, el tiempo y los riesgos.</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Decidimos:</w:t>
      </w:r>
      <w:r>
        <w:rPr>
          <w:rFonts w:ascii="Times New Roman" w:cs="Times New Roman" w:eastAsia="Times New Roman" w:hAnsi="Times New Roman"/>
          <w:sz w:val="24"/>
          <w:szCs w:val="24"/>
        </w:rPr>
        <w:t xml:space="preserve"> aprobamos, rechazamos o dejamos el cambio para después, siempre con una razón registrada.</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Aplicamos:</w:t>
      </w:r>
      <w:r>
        <w:rPr>
          <w:rFonts w:ascii="Times New Roman" w:cs="Times New Roman" w:eastAsia="Times New Roman" w:hAnsi="Times New Roman"/>
          <w:sz w:val="24"/>
          <w:szCs w:val="24"/>
        </w:rPr>
        <w:t xml:space="preserve"> actualizamos los artefactos, el código, las pruebas y la versión.</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Comprobamos:</w:t>
      </w:r>
      <w:r>
        <w:rPr>
          <w:rFonts w:ascii="Times New Roman" w:cs="Times New Roman" w:eastAsia="Times New Roman" w:hAnsi="Times New Roman"/>
          <w:sz w:val="24"/>
          <w:szCs w:val="24"/>
        </w:rPr>
        <w:t xml:space="preserve"> ejecutamos la regresión y, cuando corresponde, fijamos una nueva línea base.</w:t>
      </w:r>
    </w:p>
    <w:p>
      <w:pPr>
        <w:spacing w:after="60" w:before="60" w:line="360"/>
        <w:jc w:val="both"/>
      </w:pPr>
      <w:r>
        <w:rPr>
          <w:rFonts w:ascii="Times New Roman" w:cs="Times New Roman" w:eastAsia="Times New Roman" w:hAnsi="Times New Roman"/>
          <w:sz w:val="24"/>
          <w:szCs w:val="24"/>
        </w:rPr>
        <w:t xml:space="preserve">Controlaremos documentos, código, scripts de datos, recursos, configuración, ejecutables, instaladores y respaldos. Una línea base aprobada no se sobrescribe; cualquier cambio crea una versión nueva. Las versiones de cada artefacto se numeran de forma consecutiva, sin saltos, y el nombre del archivo debe coincidir con la versión registrada en su control de versiones.</w:t>
      </w:r>
    </w:p>
    <w:p>
      <w:pPr>
        <w:pStyle w:val="Heading1"/>
        <w:keepNext/>
        <w:spacing w:after="100" w:before="240"/>
      </w:pPr>
      <w:r>
        <w:rPr>
          <w:rFonts w:ascii="Times New Roman" w:cs="Times New Roman" w:eastAsia="Times New Roman" w:hAnsi="Times New Roman"/>
          <w:b/>
          <w:bCs/>
          <w:sz w:val="28"/>
          <w:szCs w:val="28"/>
        </w:rPr>
        <w:t xml:space="preserve">16. Trazabilidad e incidencias</w:t>
      </w:r>
    </w:p>
    <w:p>
      <w:pPr>
        <w:spacing w:after="60" w:before="0" w:line="360"/>
        <w:jc w:val="both"/>
      </w:pPr>
      <w:r>
        <w:rPr>
          <w:rFonts w:ascii="Times New Roman" w:cs="Times New Roman" w:eastAsia="Times New Roman" w:hAnsi="Times New Roman"/>
          <w:sz w:val="24"/>
          <w:szCs w:val="24"/>
        </w:rPr>
        <w:t xml:space="preserve">Mantendremos esta cadena mínima: RF o RNF → CDU → componente o tabla → módulo o commit → CPR → resultado → incidencia. Así podremos seguir un requisito desde su origen hasta la prueba que lo comprueba. Cuando aparezca un problema, registraremos ID, fecha, versión, equipo, sistema operativo, módulo, requisito, pasos, resultado esperado y obtenido, severidad, responsable, estado, evidencia y cierre.</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473"/>
      </w:tblGrid>
      <w:tr>
        <w:trPr>
          <w:cantSplit/>
          <w:tblHeader/>
        </w:trPr>
        <w:tc>
          <w:tcPr>
            <w:tcW w:type="dxa" w:w="1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Severidad</w:t>
            </w:r>
          </w:p>
        </w:tc>
        <w:tc>
          <w:tcPr>
            <w:tcW w:type="dxa" w:w="5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Criterio</w:t>
            </w:r>
          </w:p>
        </w:tc>
        <w:tc>
          <w:tcPr>
            <w:tcW w:type="dxa" w:w="3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Tratamiento</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Crítica</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Impide instalar, iniciar o usar una función principal; compromete datos.</w:t>
            </w:r>
          </w:p>
        </w:tc>
        <w:tc>
          <w:tcPr>
            <w:tcW w:type="dxa" w:w="3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Corregir antes de continuar.</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Alta</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Afecta un requisito importante sin alternativa aceptable.</w:t>
            </w:r>
          </w:p>
        </w:tc>
        <w:tc>
          <w:tcPr>
            <w:tcW w:type="dxa" w:w="3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Corregir dentro de la iteración.</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Media</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Afectación parcial con alternativa temporal.</w:t>
            </w:r>
          </w:p>
        </w:tc>
        <w:tc>
          <w:tcPr>
            <w:tcW w:type="dxa" w:w="3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Planificar y verificar antes del cierre.</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Baja</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Detalle menor sin impacto funcional.</w:t>
            </w:r>
          </w:p>
        </w:tc>
        <w:tc>
          <w:tcPr>
            <w:tcW w:type="dxa" w:w="3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Priorizar según alcance y riesgo.</w:t>
            </w:r>
          </w:p>
        </w:tc>
      </w:tr>
    </w:tbl>
    <w:p>
      <w:pPr>
        <w:spacing w:after="60" w:before="80" w:line="360"/>
        <w:jc w:val="both"/>
      </w:pPr>
      <w:r>
        <w:rPr>
          <w:rFonts w:ascii="Times New Roman" w:cs="Times New Roman" w:eastAsia="Times New Roman" w:hAnsi="Times New Roman"/>
          <w:sz w:val="24"/>
          <w:szCs w:val="24"/>
        </w:rPr>
        <w:t xml:space="preserve">Usaremos estos estados: [ABIERTA], [ASIGNADA], [EN CORRECCIÓN], [LISTA PARA REPRUEBA], [CERRADA] y [RECHAZADA]. KTCG será quien cierre una incidencia, pero únicamente después de comprobar la corrección y ejecutar la regresión necesaria.</w:t>
      </w:r>
    </w:p>
    <w:p>
      <w:pPr>
        <w:pStyle w:val="Heading1"/>
        <w:keepNext/>
        <w:spacing w:after="100" w:before="240"/>
      </w:pPr>
      <w:r>
        <w:rPr>
          <w:rFonts w:ascii="Times New Roman" w:cs="Times New Roman" w:eastAsia="Times New Roman" w:hAnsi="Times New Roman"/>
          <w:b/>
          <w:bCs/>
          <w:sz w:val="28"/>
          <w:szCs w:val="28"/>
        </w:rPr>
        <w:t xml:space="preserve">17. Métricas de iteración y escalabilidad</w:t>
      </w:r>
    </w:p>
    <w:p>
      <w:pPr>
        <w:spacing w:after="60" w:before="0" w:line="360"/>
        <w:jc w:val="both"/>
      </w:pPr>
      <w:r>
        <w:rPr>
          <w:rFonts w:ascii="Times New Roman" w:cs="Times New Roman" w:eastAsia="Times New Roman" w:hAnsi="Times New Roman"/>
          <w:sz w:val="24"/>
          <w:szCs w:val="24"/>
        </w:rPr>
        <w:t xml:space="preserve">Mediremos lo necesario para decidir con datos, no por intuición. Además de tiempo y volumen, registraremos qué objetivo del cliente quedó aceptado en cada incremento. Las cifras guardarán liga con la versión y el equipo que hizo la prueba.</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2200"/>
        <w:gridCol w:w="1873"/>
      </w:tblGrid>
      <w:tr>
        <w:trPr>
          <w:cantSplit/>
          <w:tblHeader/>
        </w:trPr>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Métrica</w:t>
            </w:r>
          </w:p>
        </w:tc>
        <w:tc>
          <w:tcPr>
            <w:tcW w:type="dxa" w:w="4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Evidencia</w:t>
            </w:r>
          </w:p>
        </w:tc>
        <w:tc>
          <w:tcPr>
            <w:tcW w:type="dxa" w:w="2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Frecuencia</w:t>
            </w:r>
          </w:p>
        </w:tc>
        <w:tc>
          <w:tcPr>
            <w:tcW w:type="dxa" w:w="18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Responsable</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Avance</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Requisitos aceptados / requisitos de la iteración</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Cada iteración</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Cobertura</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Requisitos con CPR ejecutado / requisitos aplicables</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P1.5 y P2.5</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Defectos</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Abiertos, cerrados y reabiertos por severidad</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Semanal</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Rendimiento</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Tiempo de catálogo, lista, clientes y consultas</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P2.1 y P2.5</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Volumen</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Registros (productos, ventas y clientes) procesados sin degradación no aceptada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P2.5</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Modularidad</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Cambios realizados sin afectar módulos no relacionados</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P2.3 a P2.5</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Estimación</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Minutos reales frente a minutos estimados</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subproceso</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Cada responsable</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Valor entregado</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Objetivos del cliente aceptados por incremento</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cierre de cada incremento</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 KTCG</w:t>
            </w:r>
          </w:p>
        </w:tc>
      </w:tr>
    </w:tbl>
    <w:p>
      <w:pPr>
        <w:pStyle w:val="Heading1"/>
        <w:keepNext/>
        <w:spacing w:after="100" w:before="240"/>
      </w:pPr>
      <w:r>
        <w:rPr>
          <w:rFonts w:ascii="Times New Roman" w:cs="Times New Roman" w:eastAsia="Times New Roman" w:hAnsi="Times New Roman"/>
          <w:b/>
          <w:bCs/>
          <w:sz w:val="28"/>
          <w:szCs w:val="28"/>
        </w:rPr>
        <w:t xml:space="preserve">18. Riesgos y respuestas</w:t>
      </w:r>
    </w:p>
    <w:p>
      <w:pPr>
        <w:spacing w:after="60" w:before="0" w:line="360"/>
        <w:jc w:val="both"/>
      </w:pPr>
      <w:r>
        <w:rPr>
          <w:rFonts w:ascii="Times New Roman" w:cs="Times New Roman" w:eastAsia="Times New Roman" w:hAnsi="Times New Roman"/>
          <w:sz w:val="24"/>
          <w:szCs w:val="24"/>
        </w:rPr>
        <w:t xml:space="preserve">Los riesgos de la tabla pueden aparecer en cualquier iteración. Si detectamos uno, aplicaremos la respuesta indicada y dejaremos evidencia de lo que se hizo.</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600"/>
        <w:gridCol w:w="1773"/>
      </w:tblGrid>
      <w:tr>
        <w:trPr>
          <w:cantSplit/>
          <w:tblHeader/>
        </w:trPr>
        <w:tc>
          <w:tcPr>
            <w:tcW w:type="dxa" w:w="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w:t>
            </w:r>
          </w:p>
        </w:tc>
        <w:tc>
          <w:tcPr>
            <w:tcW w:type="dxa" w:w="2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Riesgo</w:t>
            </w:r>
          </w:p>
        </w:tc>
        <w:tc>
          <w:tcPr>
            <w:tcW w:type="dxa" w:w="46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Respuesta</w:t>
            </w:r>
          </w:p>
        </w:tc>
        <w:tc>
          <w:tcPr>
            <w:tcW w:type="dxa" w:w="17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Responsable</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R-01</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Iteraciones demasiado grandes</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Dividir por función y limitar trabajo en P1.1.</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 DAOJ</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R-02</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Dependencia entre módulos</w:t>
            </w:r>
          </w:p>
        </w:tc>
        <w:tc>
          <w:tcPr>
            <w:tcW w:type="dxa" w:w="4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Aplicar interfaces y revisión de arquitectura en P1.3 y P2.3.</w:t>
            </w:r>
          </w:p>
        </w:tc>
        <w:tc>
          <w:tcPr>
            <w:tcW w:type="dxa" w:w="1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R-03</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Pérdida o corrupción de datos</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Validar transacciones, respaldos y recuperación.</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R-04</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Rendimiento insuficiente</w:t>
            </w:r>
          </w:p>
        </w:tc>
        <w:tc>
          <w:tcPr>
            <w:tcW w:type="dxa" w:w="4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Medir, optimizar consultas y repetir P2.4-P2.5.</w:t>
            </w:r>
          </w:p>
        </w:tc>
        <w:tc>
          <w:tcPr>
            <w:tcW w:type="dxa" w:w="1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R-05</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Mejoras que rompen funciones</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Mantener pruebas base y ejecutar regresión completa.</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R-06</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de clientes incorrectos o duplicados</w:t>
            </w:r>
          </w:p>
        </w:tc>
        <w:tc>
          <w:tcPr>
            <w:tcW w:type="dxa" w:w="4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Validar datos críticos, RFC y correo en tiempo real y con restricciones únicas en la base de datos.</w:t>
            </w:r>
          </w:p>
        </w:tc>
        <w:tc>
          <w:tcPr>
            <w:tcW w:type="dxa" w:w="1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R-07</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Cambios de alcance cuando el calendario ya está avanzado</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el cambio, medir su impacto, priorizar (Alta, Media, Baja) y posponer primero lo de prioridad Baja.</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 KTCG</w:t>
            </w:r>
          </w:p>
        </w:tc>
      </w:tr>
    </w:tbl>
    <w:p>
      <w:pPr>
        <w:pStyle w:val="Heading1"/>
        <w:keepNext/>
        <w:spacing w:after="100" w:before="240"/>
      </w:pPr>
      <w:r>
        <w:rPr>
          <w:rFonts w:ascii="Times New Roman" w:cs="Times New Roman" w:eastAsia="Times New Roman" w:hAnsi="Times New Roman"/>
          <w:b/>
          <w:bCs/>
          <w:sz w:val="28"/>
          <w:szCs w:val="28"/>
        </w:rPr>
        <w:t xml:space="preserve">19. Entregables finales y cierre</w:t>
      </w:r>
    </w:p>
    <w:p>
      <w:pPr>
        <w:pStyle w:val="ListParagraph"/>
        <w:numPr>
          <w:ilvl w:val="0"/>
          <w:numId w:val="3"/>
        </w:numPr>
        <w:spacing w:after="40" w:line="320"/>
        <w:jc w:val="both"/>
      </w:pPr>
      <w:r>
        <w:rPr>
          <w:rFonts w:ascii="Times New Roman" w:cs="Times New Roman" w:eastAsia="Times New Roman" w:hAnsi="Times New Roman"/>
          <w:sz w:val="24"/>
          <w:szCs w:val="24"/>
        </w:rPr>
        <w:t xml:space="preserve">Entregaremos el programa de escritorio con catálogo, lista de venta, venta con folio, clientes y vendedor en funcionamiento.</w:t>
      </w:r>
    </w:p>
    <w:p>
      <w:pPr>
        <w:pStyle w:val="ListParagraph"/>
        <w:numPr>
          <w:ilvl w:val="0"/>
          <w:numId w:val="3"/>
        </w:numPr>
        <w:spacing w:after="40" w:line="320"/>
        <w:jc w:val="both"/>
      </w:pPr>
      <w:r>
        <w:rPr>
          <w:rFonts w:ascii="Times New Roman" w:cs="Times New Roman" w:eastAsia="Times New Roman" w:hAnsi="Times New Roman"/>
          <w:sz w:val="24"/>
          <w:szCs w:val="24"/>
        </w:rPr>
        <w:t xml:space="preserve">Incluiremos un ejecutable y un instalador probados en Windows 10 y Windows 11 de 64 bits.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Dejaremos en el repositorio el código fuente, los scripts de datos, la configuración y la etiqueta de liberación.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Cerraremos EDOC, PDS, SRS, CDU, ARQ, DBD, PPR, CPR, MTE, MUS e informe POS.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Conservaremos la evidencia completa de P1 y P2, incluidas las métricas y las pruebas de regresión.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Probaremos el respaldo y dejaremos documentados los pasos de recuperación y migración.</w:t>
      </w:r>
    </w:p>
    <w:p>
      <w:pPr>
        <w:spacing w:after="60" w:before="60" w:line="360"/>
        <w:jc w:val="both"/>
      </w:pPr>
      <w:r>
        <w:rPr>
          <w:rFonts w:ascii="Times New Roman" w:cs="Times New Roman" w:eastAsia="Times New Roman" w:hAnsi="Times New Roman"/>
          <w:sz w:val="24"/>
          <w:szCs w:val="24"/>
        </w:rPr>
        <w:t xml:space="preserve">Podremos cerrar el proyecto cuando P1 y P2 hayan alcanzado sus salidas, la trazabilidad esté completa y no queden incidencias críticas o altas. KTCG deberá confirmar la línea base final.</w:t>
      </w:r>
    </w:p>
    <w:p>
      <w:pPr>
        <w:pStyle w:val="Heading1"/>
        <w:keepNext/>
        <w:spacing w:after="100" w:before="240"/>
      </w:pPr>
      <w:r>
        <w:rPr>
          <w:rFonts w:ascii="Times New Roman" w:cs="Times New Roman" w:eastAsia="Times New Roman" w:hAnsi="Times New Roman"/>
          <w:b/>
          <w:bCs/>
          <w:sz w:val="28"/>
          <w:szCs w:val="28"/>
        </w:rPr>
        <w:t xml:space="preserve">20. Acrónimos y referencias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500"/>
        <w:gridCol w:w="7473"/>
      </w:tblGrid>
      <w:tr>
        <w:trPr>
          <w:cantSplit/>
          <w:tblHeader/>
        </w:trPr>
        <w:tc>
          <w:tcPr>
            <w:tcW w:type="dxa" w:w="2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Acrónimo</w:t>
            </w:r>
          </w:p>
        </w:tc>
        <w:tc>
          <w:tcPr>
            <w:tcW w:type="dxa" w:w="7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Significado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Proyecto StockFlow de escritorio</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Proceso de Desarrollo Iterativo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Proceso de Evolución y Escalabilidad</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EDOC / PDS</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Estandarización de artefactos / Proceso de desarrollo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SRS / CDU</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Especificación de requisitos / Casos de uso</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 / DBD</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Arquitectura / Diseño de base de datos</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PPR / CPR</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Plan de pruebas / Casos de prueba</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MTE / MUS</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Manual técnico / Manual de usuario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MTR</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Matriz de trazabilidad y control de cambios</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 / RNF</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Requerimiento funcional / no funcional</w:t>
            </w:r>
          </w:p>
        </w:tc>
      </w:tr>
    </w:tbl>
    <w:p>
      <w:pPr>
        <w:pStyle w:val="ListParagraph"/>
        <w:numPr>
          <w:ilvl w:val="0"/>
          <w:numId w:val="3"/>
        </w:numPr>
        <w:spacing w:after="40" w:line="320"/>
        <w:jc w:val="both"/>
      </w:pPr>
      <w:r>
        <w:rPr>
          <w:rFonts w:ascii="Times New Roman" w:cs="Times New Roman" w:eastAsia="Times New Roman" w:hAnsi="Times New Roman"/>
          <w:sz w:val="24"/>
          <w:szCs w:val="24"/>
        </w:rPr>
        <w:t xml:space="preserve">INV_EDOC_V1_1_190309_A.pdf. Estándares para entrega de documentación.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Documento de Estandarización de Artefactos del Proyecto de Empresa StockFlow.</w:t>
      </w:r>
    </w:p>
    <w:p>
      <w:pPr>
        <w:pStyle w:val="ListParagraph"/>
        <w:numPr>
          <w:ilvl w:val="0"/>
          <w:numId w:val="3"/>
        </w:numPr>
        <w:spacing w:after="40" w:line="320"/>
        <w:jc w:val="both"/>
      </w:pPr>
      <w:r>
        <w:rPr>
          <w:rFonts w:ascii="Times New Roman" w:cs="Times New Roman" w:eastAsia="Times New Roman" w:hAnsi="Times New Roman"/>
          <w:sz w:val="24"/>
          <w:szCs w:val="24"/>
        </w:rPr>
        <w:t xml:space="preserve">IEEE 830. Referencia para especificaciones de requisitos de software.</w:t>
      </w:r>
    </w:p>
    <w:p>
      <w:pPr>
        <w:pStyle w:val="ListParagraph"/>
        <w:numPr>
          <w:ilvl w:val="0"/>
          <w:numId w:val="3"/>
        </w:numPr>
        <w:spacing w:after="40" w:line="320"/>
        <w:jc w:val="both"/>
      </w:pPr>
      <w:r>
        <w:rPr>
          <w:rFonts w:ascii="Times New Roman" w:cs="Times New Roman" w:eastAsia="Times New Roman" w:hAnsi="Times New Roman"/>
          <w:sz w:val="24"/>
          <w:szCs w:val="24"/>
        </w:rPr>
        <w:t xml:space="preserve">ISO/IEC/IEEE 12207. Referencia para procesos del ciclo de vida del software.</w:t>
      </w:r>
    </w:p>
    <w:sectPr>
      <w:headerReference w:type="default" r:id="rId7"/>
      <w:footerReference w:type="default" r:id="rId8"/>
      <w:pgSz w:w="12240" w:h="15840" w:orient="portrait"/>
      <w:pgMar w:top="1701" w:right="850" w:bottom="1134" w:left="1417" w:header="567"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2"/>
        <w:szCs w:val="22"/>
      </w:rPr>
      <w:t xml:space="preserve">Página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de </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spacing w:after="0"/>
      <w:jc w:val="right"/>
    </w:pPr>
    <w:r>
      <w:rPr>
        <w:rFonts w:ascii="Times New Roman" w:cs="Times New Roman" w:eastAsia="Times New Roman" w:hAnsi="Times New Roman"/>
        <w:sz w:val="22"/>
        <w:szCs w:val="22"/>
      </w:rPr>
      <w:t xml:space="preserve">STKD_PDS_V0_4_241026.docx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5186"/>
      <w:gridCol w:w="4787"/>
    </w:tblGrid>
    <w:tr>
      <w:tc>
        <w:tcPr>
          <w:tcW w:type="dxa" w:w="5186"/>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pPr>
          <w:r>
            <w:drawing>
              <wp:inline distT="0" distB="0" distL="0" distR="0">
                <wp:extent cx="1143000" cy="3429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p>
          <w:pPr>
            <w:spacing w:after="0" w:before="40"/>
          </w:pPr>
          <w:r>
            <w:rPr>
              <w:rFonts w:ascii="Times New Roman" w:cs="Times New Roman" w:eastAsia="Times New Roman" w:hAnsi="Times New Roman"/>
              <w:sz w:val="22"/>
              <w:szCs w:val="22"/>
            </w:rPr>
            <w:t xml:space="preserve">Documento guía del Proceso de Desarrollo de Software</w:t>
          </w:r>
        </w:p>
      </w:tc>
      <w:tc>
        <w:tcPr>
          <w:tcW w:type="dxa" w:w="4787"/>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line="240"/>
            <w:jc w:val="right"/>
          </w:pPr>
          <w:r>
            <w:rPr>
              <w:rFonts w:ascii="Times New Roman" w:cs="Times New Roman" w:eastAsia="Times New Roman" w:hAnsi="Times New Roman"/>
              <w:sz w:val="22"/>
              <w:szCs w:val="22"/>
            </w:rPr>
            <w:t xml:space="preserve">Sistema de Ventas de Aparatos Electrónicos de Escritorio</w:t>
          </w:r>
        </w:p>
        <w:p>
          <w:pPr>
            <w:spacing w:after="0" w:line="240"/>
            <w:jc w:val="right"/>
          </w:pPr>
          <w:r>
            <w:rPr>
              <w:rFonts w:ascii="Times New Roman" w:cs="Times New Roman" w:eastAsia="Times New Roman" w:hAnsi="Times New Roman"/>
              <w:sz w:val="22"/>
              <w:szCs w:val="22"/>
            </w:rPr>
            <w:t xml:space="preserve">Ciclo: 1</w:t>
          </w:r>
        </w:p>
        <w:p>
          <w:pPr>
            <w:spacing w:after="0" w:line="240"/>
            <w:jc w:val="right"/>
          </w:pPr>
          <w:r>
            <w:rPr>
              <w:rFonts w:ascii="Times New Roman" w:cs="Times New Roman" w:eastAsia="Times New Roman" w:hAnsi="Times New Roman"/>
              <w:sz w:val="22"/>
              <w:szCs w:val="22"/>
            </w:rPr>
            <w:t xml:space="preserve">Etapa: PLA</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8c560259798c0bda0e12130363aec867c1ad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guía del Proceso de Desarrollo de Software</dc:title>
  <dc:creator>StockFlow</dc:creator>
  <cp:lastModifiedBy>Un-named</cp:lastModifiedBy>
  <cp:revision>1</cp:revision>
  <dcterms:created xsi:type="dcterms:W3CDTF">2026-10-25T08:34:04.497Z</dcterms:created>
  <dcterms:modified xsi:type="dcterms:W3CDTF">2026-10-25T08:34:04.498Z</dcterms:modified>
</cp:coreProperties>
</file>

<file path=docProps/custom.xml><?xml version="1.0" encoding="utf-8"?>
<Properties xmlns="http://schemas.openxmlformats.org/officeDocument/2006/custom-properties" xmlns:vt="http://schemas.openxmlformats.org/officeDocument/2006/docPropsVTypes"/>
</file>