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235aa6343d390cf8fed10cd30abe5fb3cafd09"/>
    <w:p>
      <w:pPr>
        <w:pStyle w:val="Heading1"/>
      </w:pPr>
      <w:r>
        <w:t xml:space="preserve">Documento de Definición de Alcance y Prioridades (ALC) - StockFlow (STKD) V0.2</w:t>
      </w:r>
    </w:p>
    <w:p>
      <w:pPr>
        <w:pStyle w:val="Block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Sistema de Ventas de Aparatos Electrónicos de Escritorio (StockFlow)</w:t>
      </w:r>
      <w:r>
        <w:br/>
      </w:r>
      <w:r>
        <w:rPr>
          <w:bCs/>
          <w:b/>
        </w:rPr>
        <w:t xml:space="preserve">Ciclo:</w:t>
      </w:r>
      <w:r>
        <w:t xml:space="preserve"> </w:t>
      </w:r>
      <w:r>
        <w:t xml:space="preserve">1 |</w:t>
      </w:r>
      <w:r>
        <w:t xml:space="preserve"> </w:t>
      </w:r>
      <w:r>
        <w:rPr>
          <w:bCs/>
          <w:b/>
        </w:rPr>
        <w:t xml:space="preserve">Etapa:</w:t>
      </w:r>
      <w:r>
        <w:t xml:space="preserve"> </w:t>
      </w:r>
      <w:r>
        <w:t xml:space="preserve">REQ / PLA |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[APROBADO - LÍNEA BASE V0.2]</w:t>
      </w:r>
      <w:r>
        <w:br/>
      </w:r>
      <w:r>
        <w:rPr>
          <w:bCs/>
          <w:b/>
        </w:rPr>
        <w:t xml:space="preserve">Archivo Oficial:</w:t>
      </w:r>
      <w:r>
        <w:t xml:space="preserve"> </w:t>
      </w:r>
      <w:r>
        <w:rPr>
          <w:rStyle w:val="VerbatimChar"/>
        </w:rPr>
        <w:t xml:space="preserve">STKD_ALC_V0_2_241026.pdf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Responsable:</w:t>
      </w:r>
      <w:r>
        <w:t xml:space="preserve"> </w:t>
      </w:r>
      <w:r>
        <w:t xml:space="preserve">AESA (Análisis)</w:t>
      </w:r>
      <w:r>
        <w:br/>
      </w:r>
      <w:r>
        <w:rPr>
          <w:bCs/>
          <w:b/>
        </w:rPr>
        <w:t xml:space="preserve">Estándar Documental:</w:t>
      </w:r>
      <w:r>
        <w:t xml:space="preserve"> </w:t>
      </w:r>
      <w:r>
        <w:t xml:space="preserve">EDOC / Matriz MoSCoW</w:t>
      </w:r>
    </w:p>
    <w:p>
      <w:r>
        <w:pict>
          <v:rect style="width:0;height:1.5pt" o:hralign="center" o:hrstd="t" o:hr="t"/>
        </w:pict>
      </w:r>
    </w:p>
    <w:bookmarkStart w:id="20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del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Est.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STKD_Alcance_y_Prioridades_V0_1.pdf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alcance inicial para 4 iteraciones.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STKD_Alcance_y_Prioridades_V0_2.md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24-Oct-2026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CAM-06:</w:t>
            </w:r>
            <w:r>
              <w:t xml:space="preserve"> </w:t>
            </w:r>
            <w:r>
              <w:t xml:space="preserve">Redefinición de límites e integración de</w:t>
            </w:r>
            <w:r>
              <w:t xml:space="preserve"> </w:t>
            </w:r>
            <w:r>
              <w:rPr>
                <w:rStyle w:val="VerbatimChar"/>
              </w:rPr>
              <w:t xml:space="preserve">MOD-05</w:t>
            </w:r>
            <w:r>
              <w:t xml:space="preserve"> </w:t>
            </w:r>
            <w:r>
              <w:t xml:space="preserve">(Clientes/Facturación) en la Matriz MoSCoW.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lcance-incluido-in-scope-v0.2"/>
    <w:p>
      <w:pPr>
        <w:pStyle w:val="Heading2"/>
      </w:pPr>
      <w:r>
        <w:t xml:space="preserve">1. Alcance Incluido (In-Scope V0.2)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Gestión de Catálogo e Inventario:</w:t>
      </w:r>
      <w:r>
        <w:t xml:space="preserve"> </w:t>
      </w:r>
      <w:r>
        <w:t xml:space="preserve">Visualización, filtro dinámico y control de existencias en tiempo real.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Procesamiento de Ventas de Mostrador:</w:t>
      </w:r>
      <w:r>
        <w:t xml:space="preserve"> </w:t>
      </w:r>
      <w:r>
        <w:t xml:space="preserve">Carrito dinámico, desglose automático de IVA (16%) y folio único.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Gestión de Clientes y Facturación Local (</w:t>
      </w:r>
      <w:r>
        <w:rPr>
          <w:rStyle w:val="VerbatimChar"/>
          <w:bCs/>
          <w:b/>
        </w:rPr>
        <w:t xml:space="preserve">MOD-05</w:t>
      </w:r>
      <w:r>
        <w:rPr>
          <w:bCs/>
          <w:b/>
        </w:rPr>
        <w:t xml:space="preserve">):</w:t>
      </w:r>
      <w:r>
        <w:t xml:space="preserve"> </w:t>
      </w:r>
      <w:r>
        <w:t xml:space="preserve">Captura de datos fiscales (RFC/Razón Social), búsqueda multicriterio, inactivación lógica e historial de compras.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Persistencia y Vendedores:</w:t>
      </w:r>
      <w:r>
        <w:t xml:space="preserve"> </w:t>
      </w:r>
      <w:r>
        <w:t xml:space="preserve">Configuración del vendedor activo, persistencia en BD local y respaldo de datos.</w:t>
      </w:r>
    </w:p>
    <w:p>
      <w:r>
        <w:pict>
          <v:rect style="width:0;height:1.5pt" o:hralign="center" o:hrstd="t" o:hr="t"/>
        </w:pict>
      </w:r>
    </w:p>
    <w:bookmarkEnd w:id="21"/>
    <w:bookmarkStart w:id="22" w:name="alcance-excluido-out-of-scope"/>
    <w:p>
      <w:pPr>
        <w:pStyle w:val="Heading2"/>
      </w:pPr>
      <w:r>
        <w:t xml:space="preserve">2. Alcance Excluido (Out-of-Scope)</w:t>
      </w:r>
    </w:p>
    <w:p>
      <w:pPr>
        <w:numPr>
          <w:ilvl w:val="0"/>
          <w:numId w:val="1002"/>
        </w:numPr>
        <w:pStyle w:val="Compact"/>
      </w:pPr>
      <w:r>
        <w:t xml:space="preserve">Timbrado fiscal en línea ante el SAT webservices PAC.</w:t>
      </w:r>
    </w:p>
    <w:p>
      <w:pPr>
        <w:numPr>
          <w:ilvl w:val="0"/>
          <w:numId w:val="1002"/>
        </w:numPr>
        <w:pStyle w:val="Compact"/>
      </w:pPr>
      <w:r>
        <w:t xml:space="preserve">Conexión con terminales bancarias de cobro con tarjeta.</w:t>
      </w:r>
    </w:p>
    <w:p>
      <w:pPr>
        <w:numPr>
          <w:ilvl w:val="0"/>
          <w:numId w:val="1002"/>
        </w:numPr>
        <w:pStyle w:val="Compact"/>
      </w:pPr>
      <w:r>
        <w:t xml:space="preserve">Logística de envíos a domicilio o integración con paqueterías.</w:t>
      </w:r>
    </w:p>
    <w:p>
      <w:pPr>
        <w:numPr>
          <w:ilvl w:val="0"/>
          <w:numId w:val="1002"/>
        </w:numPr>
        <w:pStyle w:val="Compact"/>
      </w:pPr>
      <w:r>
        <w:t xml:space="preserve">Multi-sucursal en red WAN o sincronización en la nube.</w:t>
      </w:r>
    </w:p>
    <w:p>
      <w:r>
        <w:pict>
          <v:rect style="width:0;height:1.5pt" o:hralign="center" o:hrstd="t" o:hr="t"/>
        </w:pict>
      </w:r>
    </w:p>
    <w:bookmarkEnd w:id="22"/>
    <w:bookmarkStart w:id="23" w:name="X4d5aad0442f52cc4df286c6b40573d6c5bf6d94"/>
    <w:p>
      <w:pPr>
        <w:pStyle w:val="Heading2"/>
      </w:pPr>
      <w:r>
        <w:t xml:space="preserve">3. Matriz de Priorización MoSCoW (Actualizada)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Requisitos Incluidos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 Have (Imprescindibles)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RF-01.1 al RF-03.3, RF-05.1, RF-05.2, RF-05.5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Requeridos para operar la venta frente al mostrador y permitir la facturación local.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Should Have (Deberían Estar)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RF-05.3, RF-05.4, RF-05.6, RF-05.7, RF-05.8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Mejoran la agilidad en la búsqueda de clientes y la consulta de historial comercial.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Could Have (Podrían Estar)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RNF-06 (Respaldo avanzado con compresión)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complementaria de mantenimiento local.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Won’t Have (No en esta versión)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Facturación electrónica SAT en tiempo real, Pagos con tarjeta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Fuera de alcance acordado para el Ciclo 1.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2026-10-24T18:05:02Z</dcterms:created>
  <dcterms:modified xsi:type="dcterms:W3CDTF">2026-10-24T18:05:02Z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