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2213f261488dcb4ae42351ae2498a3c74e6d72a"/>
    <w:p>
      <w:pPr>
        <w:pStyle w:val="Heading1"/>
      </w:pPr>
      <w:r>
        <w:t xml:space="preserve">Documento Guía del Proceso de Desarrollo de Software (PDS) - StockFlow (STKD) V0.3</w:t>
      </w:r>
    </w:p>
    <w:p>
      <w:pPr>
        <w:pStyle w:val="BlockText"/>
      </w:pPr>
      <w:r>
        <w:rPr>
          <w:bCs/>
          <w:b/>
        </w:rPr>
        <w:t xml:space="preserve">Proyecto:</w:t>
      </w:r>
      <w:r>
        <w:t xml:space="preserve"> </w:t>
      </w:r>
      <w:r>
        <w:t xml:space="preserve">Sistema de Ventas de Aparatos Electrónicos de Escritorio (StockFlow)</w:t>
      </w:r>
      <w:r>
        <w:br/>
      </w:r>
      <w:r>
        <w:rPr>
          <w:bCs/>
          <w:b/>
        </w:rPr>
        <w:t xml:space="preserve">Ciclo:</w:t>
      </w:r>
      <w:r>
        <w:t xml:space="preserve"> </w:t>
      </w:r>
      <w:r>
        <w:t xml:space="preserve">1 |</w:t>
      </w:r>
      <w:r>
        <w:t xml:space="preserve"> </w:t>
      </w:r>
      <w:r>
        <w:rPr>
          <w:bCs/>
          <w:b/>
        </w:rPr>
        <w:t xml:space="preserve">Etapa:</w:t>
      </w:r>
      <w:r>
        <w:t xml:space="preserve"> </w:t>
      </w:r>
      <w:r>
        <w:t xml:space="preserve">PLA / PDS |</w:t>
      </w:r>
      <w:r>
        <w:t xml:space="preserve"> </w:t>
      </w:r>
      <w:r>
        <w:rPr>
          <w:bCs/>
          <w:b/>
        </w:rPr>
        <w:t xml:space="preserve">Estado:</w:t>
      </w:r>
      <w:r>
        <w:t xml:space="preserve"> </w:t>
      </w:r>
      <w:r>
        <w:t xml:space="preserve">[APROBADO - LÍNEA BASE V0.3]</w:t>
      </w:r>
      <w:r>
        <w:br/>
      </w:r>
      <w:r>
        <w:rPr>
          <w:bCs/>
          <w:b/>
        </w:rPr>
        <w:t xml:space="preserve">Archivo Oficial:</w:t>
      </w:r>
      <w:r>
        <w:t xml:space="preserve"> </w:t>
      </w:r>
      <w:r>
        <w:rPr>
          <w:rStyle w:val="VerbatimChar"/>
        </w:rPr>
        <w:t xml:space="preserve">STKD_PDS_V0_3_241026.pdf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Responsable:</w:t>
      </w:r>
      <w:r>
        <w:t xml:space="preserve"> </w:t>
      </w:r>
      <w:r>
        <w:t xml:space="preserve">AESA / KTCG</w:t>
      </w:r>
      <w:r>
        <w:br/>
      </w:r>
      <w:r>
        <w:rPr>
          <w:bCs/>
          <w:b/>
        </w:rPr>
        <w:t xml:space="preserve">Estándar Documental:</w:t>
      </w:r>
      <w:r>
        <w:t xml:space="preserve"> </w:t>
      </w:r>
      <w:r>
        <w:t xml:space="preserve">EDOC / ISO/IEC/IEEE 12207</w:t>
      </w:r>
    </w:p>
    <w:p>
      <w:r>
        <w:pict>
          <v:rect style="width:0;height:1.5pt" o:hralign="center" o:hrstd="t" o:hr="t"/>
        </w:pict>
      </w:r>
    </w:p>
    <w:bookmarkStart w:id="20" w:name="control-de-versiones"/>
    <w:p>
      <w:pPr>
        <w:pStyle w:val="Heading2"/>
      </w:pPr>
      <w:r>
        <w:t xml:space="preserve">Control de Versiones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21"/>
        <w:gridCol w:w="1021"/>
        <w:gridCol w:w="1021"/>
        <w:gridCol w:w="1021"/>
        <w:gridCol w:w="1277"/>
        <w:gridCol w:w="1277"/>
        <w:gridCol w:w="12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Razón del cambio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Tiempo Est.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Tiempo 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STKD_PDS_V0_1_150926.pdf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15-Sep-2026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Definición inicial de los dos procesos de desarrollo.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 hrs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 hrs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STKD_PDS_V0_2_150926.pdf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15-Sep-2026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 del modelo incremental y trazabilidad.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 hrs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 hrs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STKD_PDS_V0_3_241026.md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24-Oct-2026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CAM-06:</w:t>
            </w:r>
            <w:r>
              <w:t xml:space="preserve"> </w:t>
            </w:r>
            <w:r>
              <w:t xml:space="preserve">Actualización de criterios de calidad para validación de no duplicidad (RFC/Correo) e inactivación lógica.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 hrs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 hrs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modelo-general-de-procesos"/>
    <w:p>
      <w:pPr>
        <w:pStyle w:val="Heading2"/>
      </w:pPr>
      <w:r>
        <w:t xml:space="preserve">1. Modelo General de Procesos</w:t>
      </w:r>
    </w:p>
    <w:p>
      <w:pPr>
        <w:pStyle w:val="FirstParagraph"/>
      </w:pPr>
      <w:r>
        <w:t xml:space="preserve">El proyecto StockFlow se ejecuta mediante dos procesos interconectados: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  <w:bCs/>
          <w:b/>
        </w:rPr>
        <w:t xml:space="preserve">P1</w:t>
      </w:r>
      <w:r>
        <w:rPr>
          <w:bCs/>
          <w:b/>
        </w:rPr>
        <w:t xml:space="preserve"> </w:t>
      </w:r>
      <w:r>
        <w:rPr>
          <w:bCs/>
          <w:b/>
        </w:rPr>
        <w:t xml:space="preserve">· Proceso de Desarrollo Iterativo e Incremental:</w:t>
      </w:r>
      <w:r>
        <w:t xml:space="preserve"> </w:t>
      </w:r>
      <w:r>
        <w:t xml:space="preserve">Entrega de valor mediante 5 incrementos funcionales probados (</w:t>
      </w:r>
      <w:r>
        <w:rPr>
          <w:rStyle w:val="VerbatimChar"/>
        </w:rPr>
        <w:t xml:space="preserve">MOD-01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MOD-05</w:t>
      </w:r>
      <w:r>
        <w:t xml:space="preserve">).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  <w:bCs/>
          <w:b/>
        </w:rPr>
        <w:t xml:space="preserve">P2</w:t>
      </w:r>
      <w:r>
        <w:rPr>
          <w:bCs/>
          <w:b/>
        </w:rPr>
        <w:t xml:space="preserve"> </w:t>
      </w:r>
      <w:r>
        <w:rPr>
          <w:bCs/>
          <w:b/>
        </w:rPr>
        <w:t xml:space="preserve">· Proceso de Evolución y Escalabilidad:</w:t>
      </w:r>
      <w:r>
        <w:t xml:space="preserve"> </w:t>
      </w:r>
      <w:r>
        <w:t xml:space="preserve">Aseguramiento de la arquitectura en 3 capas, optimización de consultas SQL e integridad de la base de datos local.</w:t>
      </w:r>
    </w:p>
    <w:p>
      <w:r>
        <w:pict>
          <v:rect style="width:0;height:1.5pt" o:hralign="center" o:hrstd="t" o:hr="t"/>
        </w:pict>
      </w:r>
    </w:p>
    <w:bookmarkEnd w:id="21"/>
    <w:bookmarkStart w:id="22" w:name="X81c3f59909ccc70f3a002b3bf9a4811a2e4acb0"/>
    <w:p>
      <w:pPr>
        <w:pStyle w:val="Heading2"/>
      </w:pPr>
      <w:r>
        <w:t xml:space="preserve">2. Criterios de Calidad y Cierre para MOD-05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Validación de Unicidad (</w:t>
      </w:r>
      <w:r>
        <w:rPr>
          <w:rStyle w:val="VerbatimChar"/>
          <w:bCs/>
          <w:b/>
        </w:rPr>
        <w:t xml:space="preserve">RN-07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EX-05</w:t>
      </w:r>
      <w:r>
        <w:rPr>
          <w:bCs/>
          <w:b/>
        </w:rPr>
        <w:t xml:space="preserve">):</w:t>
      </w:r>
      <w:r>
        <w:t xml:space="preserve"> </w:t>
      </w:r>
      <w:r>
        <w:t xml:space="preserve">Toda alta de cliente debe verificar en tiempo real que el RFC y el correo electrónico no existan previamente en la tabla</w:t>
      </w:r>
      <w:r>
        <w:t xml:space="preserve"> </w:t>
      </w:r>
      <w:r>
        <w:rPr>
          <w:rStyle w:val="VerbatimChar"/>
        </w:rPr>
        <w:t xml:space="preserve">cliente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Inactivación Lógica (</w:t>
      </w:r>
      <w:r>
        <w:rPr>
          <w:rStyle w:val="VerbatimChar"/>
          <w:bCs/>
          <w:b/>
        </w:rPr>
        <w:t xml:space="preserve">RN-08</w:t>
      </w:r>
      <w:r>
        <w:rPr>
          <w:bCs/>
          <w:b/>
        </w:rPr>
        <w:t xml:space="preserve">):</w:t>
      </w:r>
      <w:r>
        <w:t xml:space="preserve"> </w:t>
      </w:r>
      <w:r>
        <w:t xml:space="preserve">Las pruebas de regresión deben verificar que ningún cliente con ventas asociadas pueda ser eliminado físicamente de la base de datos local, aplicando únicamente el cambio de estado a</w:t>
      </w:r>
      <w:r>
        <w:t xml:space="preserve"> </w:t>
      </w:r>
      <w:r>
        <w:rPr>
          <w:rStyle w:val="VerbatimChar"/>
        </w:rPr>
        <w:t xml:space="preserve">'Inactivo'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Definition of Done (DoD) para Iteración 5:</w:t>
      </w:r>
    </w:p>
    <w:p>
      <w:pPr>
        <w:numPr>
          <w:ilvl w:val="1"/>
          <w:numId w:val="1002"/>
        </w:numPr>
        <w:pStyle w:val="Compact"/>
      </w:pPr>
      <w:r>
        <w:t xml:space="preserve">Código fuente integrado en el repositorio Git en la rama</w:t>
      </w:r>
      <w:r>
        <w:t xml:space="preserve"> </w:t>
      </w:r>
      <w:r>
        <w:rPr>
          <w:rStyle w:val="VerbatimChar"/>
        </w:rPr>
        <w:t xml:space="preserve">feature/mod-05-clientes</w:t>
      </w:r>
      <w:r>
        <w:t xml:space="preserve">.</w:t>
      </w:r>
    </w:p>
    <w:p>
      <w:pPr>
        <w:numPr>
          <w:ilvl w:val="1"/>
          <w:numId w:val="1002"/>
        </w:numPr>
        <w:pStyle w:val="Compact"/>
      </w:pPr>
      <w:r>
        <w:t xml:space="preserve">Pruebas unitarias</w:t>
      </w:r>
      <w:r>
        <w:t xml:space="preserve"> </w:t>
      </w:r>
      <w:r>
        <w:rPr>
          <w:rStyle w:val="VerbatimChar"/>
        </w:rPr>
        <w:t xml:space="preserve">CP-08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CP-12</w:t>
      </w:r>
      <w:r>
        <w:t xml:space="preserve"> </w:t>
      </w:r>
      <w:r>
        <w:t xml:space="preserve">ejecutadas con 100% de éxito.</w:t>
      </w:r>
    </w:p>
    <w:p>
      <w:pPr>
        <w:numPr>
          <w:ilvl w:val="1"/>
          <w:numId w:val="1002"/>
        </w:numPr>
        <w:pStyle w:val="Compact"/>
      </w:pPr>
      <w:r>
        <w:t xml:space="preserve">Matriz de trazabilidad</w:t>
      </w:r>
      <w:r>
        <w:t xml:space="preserve"> </w:t>
      </w:r>
      <w:r>
        <w:rPr>
          <w:rStyle w:val="VerbatimChar"/>
        </w:rPr>
        <w:t xml:space="preserve">MTR</w:t>
      </w:r>
      <w:r>
        <w:t xml:space="preserve"> </w:t>
      </w:r>
      <w:r>
        <w:t xml:space="preserve">actualizada y aprobada por Calidad (</w:t>
      </w:r>
      <w:r>
        <w:rPr>
          <w:rStyle w:val="VerbatimChar"/>
        </w:rPr>
        <w:t xml:space="preserve">KTCG</w:t>
      </w:r>
      <w:r>
        <w:t xml:space="preserve">).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2026-10-24T18:05:03Z</dcterms:created>
  <dcterms:modified xsi:type="dcterms:W3CDTF">2026-10-24T18:05:03Z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