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f8e8e6b0cb618cdbee6a9564abd6743cd6a0e3"/>
    <w:p>
      <w:pPr>
        <w:pStyle w:val="Heading1"/>
      </w:pPr>
      <w:r>
        <w:t xml:space="preserve">Documento de Procesos de Negocio (DPN) - StockFlow (STKD) V0.2</w:t>
      </w:r>
    </w:p>
    <w:p>
      <w:pPr>
        <w:pStyle w:val="Block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Sistema de Ventas de Aparatos Electrónicos de Escritorio (StockFlow)</w:t>
      </w:r>
      <w:r>
        <w:br/>
      </w:r>
      <w:r>
        <w:rPr>
          <w:bCs/>
          <w:b/>
        </w:rPr>
        <w:t xml:space="preserve">Ciclo: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REQ / DPN |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[APROBADO - LÍNEA BASE V0.2]</w:t>
      </w:r>
      <w:r>
        <w:br/>
      </w:r>
      <w:r>
        <w:rPr>
          <w:bCs/>
          <w:b/>
        </w:rPr>
        <w:t xml:space="preserve">Archivo Oficial:</w:t>
      </w:r>
      <w:r>
        <w:t xml:space="preserve"> </w:t>
      </w:r>
      <w:r>
        <w:rPr>
          <w:rStyle w:val="VerbatimChar"/>
        </w:rPr>
        <w:t xml:space="preserve">STK_DPN_V0_2_241026.docx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Responsable:</w:t>
      </w:r>
      <w:r>
        <w:t xml:space="preserve"> </w:t>
      </w:r>
      <w:r>
        <w:t xml:space="preserve">VMTS (Procesos de Negocio)</w:t>
      </w:r>
      <w:r>
        <w:br/>
      </w:r>
      <w:r>
        <w:rPr>
          <w:bCs/>
          <w:b/>
        </w:rPr>
        <w:t xml:space="preserve">Estándar Documental:</w:t>
      </w:r>
      <w:r>
        <w:t xml:space="preserve"> </w:t>
      </w:r>
      <w:r>
        <w:t xml:space="preserve">EDOC / Notación Eriksson-Penker</w:t>
      </w:r>
    </w:p>
    <w:p>
      <w:r>
        <w:pict>
          <v:rect style="width:0;height:1.5pt" o:hralign="center" o:hrstd="t" o:hr="t"/>
        </w:pict>
      </w:r>
    </w:p>
    <w:bookmarkStart w:id="20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STK_DPN_V0_1_140926.docx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14-Sep-2026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inicial de procesos PN-01 a PN-04.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STK_DPN_V0_2_241026.md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24-Oct-2026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CAM-06:</w:t>
            </w:r>
            <w:r>
              <w:t xml:space="preserve"> </w:t>
            </w:r>
            <w:r>
              <w:t xml:space="preserve">Ficha técnica de</w:t>
            </w:r>
            <w:r>
              <w:t xml:space="preserve"> </w:t>
            </w:r>
            <w:r>
              <w:rPr>
                <w:rStyle w:val="VerbatimChar"/>
              </w:rPr>
              <w:t xml:space="preserve">PN-05</w:t>
            </w:r>
            <w:r>
              <w:t xml:space="preserve"> </w:t>
            </w:r>
            <w:r>
              <w:t xml:space="preserve">(Administración de Clientes), actualización de</w:t>
            </w:r>
            <w:r>
              <w:t xml:space="preserve"> </w:t>
            </w:r>
            <w:r>
              <w:rPr>
                <w:rStyle w:val="VerbatimChar"/>
              </w:rPr>
              <w:t xml:space="preserve">PN-03 Checkout</w:t>
            </w:r>
            <w:r>
              <w:t xml:space="preserve">, RN-07, RN-08 y excepciones EX-04/EX-05.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introducción-y-alcance-del-negocio"/>
    <w:p>
      <w:pPr>
        <w:pStyle w:val="Heading2"/>
      </w:pPr>
      <w:r>
        <w:t xml:space="preserve">1. Introducción y Alcance del Negocio</w:t>
      </w:r>
    </w:p>
    <w:p>
      <w:pPr>
        <w:pStyle w:val="FirstParagraph"/>
      </w:pPr>
      <w:r>
        <w:t xml:space="preserve">El presente Documento de Procesos de Negocio (DPN) formaliza la operativa comercial de</w:t>
      </w:r>
      <w:r>
        <w:t xml:space="preserve"> </w:t>
      </w:r>
      <w:r>
        <w:rPr>
          <w:bCs/>
          <w:b/>
        </w:rPr>
        <w:t xml:space="preserve">Empresa StockFlow</w:t>
      </w:r>
      <w:r>
        <w:t xml:space="preserve">, dedicada a la venta de aparatos electrónicos de escritorio. Cubre desde la exhibición de catálogo hasta el perfilado de clientes para facturación local.</w:t>
      </w:r>
    </w:p>
    <w:p>
      <w:r>
        <w:pict>
          <v:rect style="width:0;height:1.5pt" o:hralign="center" o:hrstd="t" o:hr="t"/>
        </w:pict>
      </w:r>
    </w:p>
    <w:bookmarkEnd w:id="21"/>
    <w:bookmarkStart w:id="22" w:name="actores-del-negocio"/>
    <w:p>
      <w:pPr>
        <w:pStyle w:val="Heading2"/>
      </w:pPr>
      <w:r>
        <w:t xml:space="preserve">2. Actores del Negocio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Cliente / Comprador:</w:t>
      </w:r>
      <w:r>
        <w:t xml:space="preserve"> </w:t>
      </w:r>
      <w:r>
        <w:t xml:space="preserve">Persona física o moral que adquiere aparatos electrónicos y proporciona sus datos de facturación.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Vendedor / Cajero:</w:t>
      </w:r>
      <w:r>
        <w:t xml:space="preserve"> </w:t>
      </w:r>
      <w:r>
        <w:t xml:space="preserve">Personal de mostrador que opera el sistema, consulta el catálogo, selecciona el vendedor activo, registra al cliente y efectúa el cobro.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Encargado de Almacén:</w:t>
      </w:r>
      <w:r>
        <w:t xml:space="preserve"> </w:t>
      </w:r>
      <w:r>
        <w:t xml:space="preserve">Personal responsable de custodiar el inventario físico y surtir pedidos.</w:t>
      </w:r>
    </w:p>
    <w:p>
      <w:r>
        <w:pict>
          <v:rect style="width:0;height:1.5pt" o:hralign="center" o:hrstd="t" o:hr="t"/>
        </w:pict>
      </w:r>
    </w:p>
    <w:bookmarkEnd w:id="22"/>
    <w:bookmarkStart w:id="23" w:name="catálogo-oficial-de-procesos-de-negocio"/>
    <w:p>
      <w:pPr>
        <w:pStyle w:val="Heading2"/>
      </w:pPr>
      <w:r>
        <w:t xml:space="preserve">3. Catálogo Oficial de Procesos de Negocio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PN-01</w:t>
      </w:r>
      <w:r>
        <w:rPr>
          <w:bCs/>
          <w:b/>
        </w:rPr>
        <w:t xml:space="preserve">:</w:t>
      </w:r>
      <w:r>
        <w:t xml:space="preserve"> </w:t>
      </w:r>
      <w:r>
        <w:t xml:space="preserve">Exhibición y Consulta de Catálogo de Aparatos Electrónicos.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PN-02</w:t>
      </w:r>
      <w:r>
        <w:rPr>
          <w:bCs/>
          <w:b/>
        </w:rPr>
        <w:t xml:space="preserve">:</w:t>
      </w:r>
      <w:r>
        <w:t xml:space="preserve"> </w:t>
      </w:r>
      <w:r>
        <w:t xml:space="preserve">Consolidación y Ajuste de Seleccion de Compra (Carrito).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PN-03</w:t>
      </w:r>
      <w:r>
        <w:rPr>
          <w:bCs/>
          <w:b/>
        </w:rPr>
        <w:t xml:space="preserve">:</w:t>
      </w:r>
      <w:r>
        <w:t xml:space="preserve"> </w:t>
      </w:r>
      <w:r>
        <w:t xml:space="preserve">Procesamiento de Pedido y Emisión de Orden Comercial (Checkout).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PN-04</w:t>
      </w:r>
      <w:r>
        <w:rPr>
          <w:bCs/>
          <w:b/>
        </w:rPr>
        <w:t xml:space="preserve">:</w:t>
      </w:r>
      <w:r>
        <w:t xml:space="preserve"> </w:t>
      </w:r>
      <w:r>
        <w:t xml:space="preserve">Surtido y Apartado de Mercancía en Almacén.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PN-05</w:t>
      </w:r>
      <w:r>
        <w:rPr>
          <w:bCs/>
          <w:b/>
        </w:rPr>
        <w:t xml:space="preserve"> </w:t>
      </w:r>
      <w:r>
        <w:rPr>
          <w:bCs/>
          <w:b/>
        </w:rPr>
        <w:t xml:space="preserve">(NUEVO - CAM-06):</w:t>
      </w:r>
      <w:r>
        <w:t xml:space="preserve"> </w:t>
      </w:r>
      <w:r>
        <w:t xml:space="preserve">Administración, Perfilado e Inactivación Lógica de Clientes.</w:t>
      </w:r>
    </w:p>
    <w:p>
      <w:r>
        <w:pict>
          <v:rect style="width:0;height:1.5pt" o:hralign="center" o:hrstd="t" o:hr="t"/>
        </w:pict>
      </w:r>
    </w:p>
    <w:bookmarkEnd w:id="23"/>
    <w:bookmarkStart w:id="26" w:name="fichas-técnicas-detalladas-de-procesos"/>
    <w:p>
      <w:pPr>
        <w:pStyle w:val="Heading2"/>
      </w:pPr>
      <w:r>
        <w:t xml:space="preserve">4. Fichas Técnicas Detalladas de Procesos</w:t>
      </w:r>
    </w:p>
    <w:bookmarkStart w:id="24" w:name="Xc3b39b0cfea10cfced65641cbe39d5b9a64022f"/>
    <w:p>
      <w:pPr>
        <w:pStyle w:val="Heading3"/>
      </w:pPr>
      <w:r>
        <w:t xml:space="preserve">Ficha Técnica:</w:t>
      </w:r>
      <w:r>
        <w:t xml:space="preserve"> </w:t>
      </w:r>
      <w:r>
        <w:rPr>
          <w:rStyle w:val="VerbatimChar"/>
        </w:rPr>
        <w:t xml:space="preserve">PN-03</w:t>
      </w:r>
      <w:r>
        <w:t xml:space="preserve"> </w:t>
      </w:r>
      <w:r>
        <w:t xml:space="preserve">Procesamiento de Pedido y Emisión de Orden (Checkout Actualizado)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Objetivo:</w:t>
      </w:r>
      <w:r>
        <w:t xml:space="preserve"> </w:t>
      </w:r>
      <w:r>
        <w:t xml:space="preserve">Formalizar la venta en mostrador capturando el vendedor activo, asociando el cliente para facturación y emitiendo un folio único consecutivo.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Entradas:</w:t>
      </w:r>
      <w:r>
        <w:t xml:space="preserve"> </w:t>
      </w:r>
      <w:r>
        <w:t xml:space="preserve">Carrito consolidado, ID de vendedor activo, selección/alta de cliente.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Flujo Básico:</w:t>
      </w:r>
    </w:p>
    <w:p>
      <w:pPr>
        <w:numPr>
          <w:ilvl w:val="1"/>
          <w:numId w:val="1004"/>
        </w:numPr>
        <w:pStyle w:val="Compact"/>
      </w:pPr>
      <w:r>
        <w:t xml:space="preserve">El vendedor verifica los productos en el carrito (</w:t>
      </w:r>
      <w:r>
        <w:rPr>
          <w:rStyle w:val="VerbatimChar"/>
        </w:rPr>
        <w:t xml:space="preserve">SCR-01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El vendedor selecciona o registra al cliente asociando sus datos fiscales (</w:t>
      </w:r>
      <w:r>
        <w:rPr>
          <w:rStyle w:val="VerbatimChar"/>
        </w:rPr>
        <w:t xml:space="preserve">RFC/Razón Social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El sistema valida que la información esté completa (</w:t>
      </w:r>
      <w:r>
        <w:rPr>
          <w:rStyle w:val="VerbatimChar"/>
        </w:rPr>
        <w:t xml:space="preserve">EX-04</w:t>
      </w:r>
      <w:r>
        <w:t xml:space="preserve">) y que el vendedor esté asignado.</w:t>
      </w:r>
    </w:p>
    <w:p>
      <w:pPr>
        <w:numPr>
          <w:ilvl w:val="1"/>
          <w:numId w:val="1004"/>
        </w:numPr>
        <w:pStyle w:val="Compact"/>
      </w:pPr>
      <w:r>
        <w:t xml:space="preserve">El vendedor presiona la confirmación (</w:t>
      </w:r>
      <w:r>
        <w:rPr>
          <w:rStyle w:val="VerbatimChar"/>
        </w:rPr>
        <w:t xml:space="preserve">F5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El sistema procesa la transacción de forma atómica, descuenta stock y genera el folio único.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Salidas:</w:t>
      </w:r>
      <w:r>
        <w:t xml:space="preserve"> </w:t>
      </w:r>
      <w:r>
        <w:t xml:space="preserve">Orden registrada en base de datos local con folio asignado y carrito reiniciado.</w:t>
      </w:r>
    </w:p>
    <w:p>
      <w:r>
        <w:pict>
          <v:rect style="width:0;height:1.5pt" o:hralign="center" o:hrstd="t" o:hr="t"/>
        </w:pict>
      </w:r>
    </w:p>
    <w:bookmarkEnd w:id="24"/>
    <w:bookmarkStart w:id="25" w:name="X30d5be41c03aa3d282ef8317065fc057b9bc08d"/>
    <w:p>
      <w:pPr>
        <w:pStyle w:val="Heading3"/>
      </w:pPr>
      <w:r>
        <w:t xml:space="preserve">Ficha Técnica:</w:t>
      </w:r>
      <w:r>
        <w:t xml:space="preserve"> </w:t>
      </w:r>
      <w:r>
        <w:rPr>
          <w:rStyle w:val="VerbatimChar"/>
        </w:rPr>
        <w:t xml:space="preserve">PN-05</w:t>
      </w:r>
      <w:r>
        <w:t xml:space="preserve"> </w:t>
      </w:r>
      <w:r>
        <w:t xml:space="preserve">Administración, Perfilado e Inactivación Lógica de Clientes (NUEVA)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Objetivo:</w:t>
      </w:r>
      <w:r>
        <w:t xml:space="preserve"> </w:t>
      </w:r>
      <w:r>
        <w:t xml:space="preserve">Gestionar el catálogo de clientes para facturación, permitiendo la búsqueda, filtrado, actualización de datos y la inactivación lógica sin afectar el historial financiero.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Actor Principal:</w:t>
      </w:r>
      <w:r>
        <w:t xml:space="preserve"> </w:t>
      </w:r>
      <w:r>
        <w:t xml:space="preserve">Vendedor / Cajero.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Entradas:</w:t>
      </w:r>
      <w:r>
        <w:t xml:space="preserve"> </w:t>
      </w:r>
      <w:r>
        <w:t xml:space="preserve">Datos de identificación del cliente (Nombre, Apellido, Edad, Teléfono, Correo, RFC, Razón Social, Tipo de Persona).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Flujo Básico:</w:t>
      </w:r>
    </w:p>
    <w:p>
      <w:pPr>
        <w:numPr>
          <w:ilvl w:val="1"/>
          <w:numId w:val="1006"/>
        </w:numPr>
        <w:pStyle w:val="Compact"/>
      </w:pPr>
      <w:r>
        <w:t xml:space="preserve">El vendedor accede al módulo de clientes (</w:t>
      </w:r>
      <w:r>
        <w:rPr>
          <w:rStyle w:val="VerbatimChar"/>
        </w:rPr>
        <w:t xml:space="preserve">SCR-04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Consulta o busca un cliente mediante palabras clave en tiempo real.</w:t>
      </w:r>
    </w:p>
    <w:p>
      <w:pPr>
        <w:numPr>
          <w:ilvl w:val="1"/>
          <w:numId w:val="1006"/>
        </w:numPr>
        <w:pStyle w:val="Compact"/>
      </w:pPr>
      <w:r>
        <w:t xml:space="preserve">Si es un nuevo cliente, llena el formulario validando que el RFC y correo no estén duplicados (</w:t>
      </w:r>
      <w:r>
        <w:rPr>
          <w:rStyle w:val="VerbatimChar"/>
        </w:rPr>
        <w:t xml:space="preserve">RN-07</w:t>
      </w:r>
      <w:r>
        <w:t xml:space="preserve">,</w:t>
      </w:r>
      <w:r>
        <w:t xml:space="preserve"> </w:t>
      </w:r>
      <w:r>
        <w:rPr>
          <w:rStyle w:val="VerbatimChar"/>
        </w:rPr>
        <w:t xml:space="preserve">EX-05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Si requiere modificar datos, edita los campos y el sistema registra la marca de tiempo</w:t>
      </w:r>
      <w:r>
        <w:t xml:space="preserve"> </w:t>
      </w:r>
      <w:r>
        <w:rPr>
          <w:rStyle w:val="VerbatimChar"/>
        </w:rPr>
        <w:t xml:space="preserve">fecha_modificacion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Si el cliente solicita baja pero tiene historial financiero, el sistema cambia su estado a</w:t>
      </w:r>
      <w:r>
        <w:t xml:space="preserve"> </w:t>
      </w:r>
      <w:r>
        <w:t xml:space="preserve">“</w:t>
      </w:r>
      <w:r>
        <w:t xml:space="preserve">Inactivo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RN-08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Salidas:</w:t>
      </w:r>
      <w:r>
        <w:t xml:space="preserve"> </w:t>
      </w:r>
      <w:r>
        <w:t xml:space="preserve">Registro de cliente creado/actualizado o cambiado a estado</w:t>
      </w:r>
      <w:r>
        <w:t xml:space="preserve"> </w:t>
      </w:r>
      <w:r>
        <w:t xml:space="preserve">“</w:t>
      </w:r>
      <w:r>
        <w:t xml:space="preserve">Inactivo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glas-de-negocio-rn"/>
    <w:p>
      <w:pPr>
        <w:pStyle w:val="Heading2"/>
      </w:pPr>
      <w:r>
        <w:t xml:space="preserve">5. Reglas de Negocio (RN)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RN-01</w:t>
      </w:r>
      <w:r>
        <w:rPr>
          <w:bCs/>
          <w:b/>
        </w:rPr>
        <w:t xml:space="preserve"> </w:t>
      </w:r>
      <w:r>
        <w:rPr>
          <w:bCs/>
          <w:b/>
        </w:rPr>
        <w:t xml:space="preserve">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RN-06</w:t>
      </w:r>
      <w:r>
        <w:rPr>
          <w:bCs/>
          <w:b/>
        </w:rPr>
        <w:t xml:space="preserve">:</w:t>
      </w:r>
      <w:r>
        <w:t xml:space="preserve"> </w:t>
      </w:r>
      <w:r>
        <w:t xml:space="preserve">Acceso libre, tope de stock, consistencia de totales, obligatoriedad de datos, unicidad de folio y atomicidad de transacción.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RN-07</w:t>
      </w:r>
      <w:r>
        <w:rPr>
          <w:bCs/>
          <w:b/>
        </w:rPr>
        <w:t xml:space="preserve"> </w:t>
      </w:r>
      <w:r>
        <w:rPr>
          <w:bCs/>
          <w:b/>
        </w:rPr>
        <w:t xml:space="preserve">(NUEVA):</w:t>
      </w:r>
      <w:r>
        <w:t xml:space="preserve"> </w:t>
      </w:r>
      <w:r>
        <w:t xml:space="preserve">Unicidad obligatoria de RFC y Correo Electrónico en el registro de clientes.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RN-08</w:t>
      </w:r>
      <w:r>
        <w:rPr>
          <w:bCs/>
          <w:b/>
        </w:rPr>
        <w:t xml:space="preserve"> </w:t>
      </w:r>
      <w:r>
        <w:rPr>
          <w:bCs/>
          <w:b/>
        </w:rPr>
        <w:t xml:space="preserve">(NUEVA):</w:t>
      </w:r>
      <w:r>
        <w:t xml:space="preserve"> </w:t>
      </w:r>
      <w:r>
        <w:t xml:space="preserve">Prohibición de eliminación física (</w:t>
      </w:r>
      <w:r>
        <w:rPr>
          <w:rStyle w:val="VerbatimChar"/>
        </w:rPr>
        <w:t xml:space="preserve">DELETE</w:t>
      </w:r>
      <w:r>
        <w:t xml:space="preserve">) de clientes con ventas registradas; se aplica inactivación lógica (</w:t>
      </w:r>
      <w:r>
        <w:rPr>
          <w:rStyle w:val="VerbatimChar"/>
        </w:rPr>
        <w:t xml:space="preserve">estado = 'Inactivo'</w:t>
      </w:r>
      <w:r>
        <w:t xml:space="preserve">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2026-10-24T18:04:52Z</dcterms:created>
  <dcterms:modified xsi:type="dcterms:W3CDTF">2026-10-24T18:04:52Z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