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13911">
      <w:pPr>
        <w:pStyle w:val="31"/>
        <w:rPr>
          <w:rFonts w:hint="eastAsia" w:ascii="宋体" w:hAnsi="宋体" w:eastAsia="宋体" w:cs="宋体"/>
          <w:sz w:val="40"/>
          <w:szCs w:val="40"/>
        </w:rPr>
      </w:pPr>
      <w:r>
        <w:rPr>
          <w:rFonts w:hint="eastAsia" w:ascii="宋体" w:hAnsi="宋体" w:eastAsia="宋体" w:cs="宋体"/>
          <w:sz w:val="40"/>
          <w:szCs w:val="40"/>
        </w:rPr>
        <w:t>超声成像与 ACR TI-RADS 特征多模态融合用于甲状腺结节恶性分类：一项多数据集验证研究</w:t>
      </w:r>
    </w:p>
    <w:p w14:paraId="021DFA85">
      <w:pPr>
        <w:pStyle w:val="3"/>
        <w:rPr>
          <w:rFonts w:hint="eastAsia" w:ascii="宋体" w:hAnsi="宋体" w:eastAsia="宋体" w:cs="宋体"/>
        </w:rPr>
      </w:pPr>
      <w:r>
        <w:rPr>
          <w:rFonts w:hint="eastAsia" w:ascii="宋体" w:hAnsi="宋体" w:eastAsia="宋体" w:cs="宋体"/>
        </w:rPr>
        <w:t>摘要</w:t>
      </w:r>
    </w:p>
    <w:p w14:paraId="7E4BEA42">
      <w:pPr>
        <w:spacing w:after="120"/>
        <w:rPr>
          <w:rFonts w:hint="eastAsia" w:ascii="宋体" w:hAnsi="宋体" w:eastAsia="宋体" w:cs="宋体"/>
          <w:b/>
        </w:rPr>
      </w:pPr>
      <w:r>
        <w:rPr>
          <w:rFonts w:hint="eastAsia" w:ascii="宋体" w:hAnsi="宋体" w:eastAsia="宋体" w:cs="宋体"/>
          <w:b/>
        </w:rPr>
        <w:t>背景</w:t>
      </w:r>
    </w:p>
    <w:p w14:paraId="372A012F">
      <w:pPr>
        <w:spacing w:after="120"/>
        <w:rPr>
          <w:rFonts w:hint="eastAsia" w:ascii="宋体" w:hAnsi="宋体" w:eastAsia="宋体" w:cs="宋体"/>
        </w:rPr>
      </w:pPr>
      <w:r>
        <w:rPr>
          <w:rFonts w:hint="eastAsia" w:ascii="宋体" w:hAnsi="宋体" w:eastAsia="宋体" w:cs="宋体"/>
        </w:rPr>
        <w:t>甲状腺结节高度常见，但基于超声的风险分层仍具主观性且依赖操作者。基于甲状腺超声图像训练的深度学习模型展现出前景，但多数研究仅报告单中心、单数据集结果而缺乏外部验证，且很少整合美国放射学会（ACR）甲状腺影像报告与数据系统（TI-RADS）描述符等结构化临床特征。</w:t>
      </w:r>
    </w:p>
    <w:p w14:paraId="33315361">
      <w:pPr>
        <w:spacing w:after="120"/>
        <w:rPr>
          <w:rFonts w:hint="eastAsia" w:ascii="宋体" w:hAnsi="宋体" w:eastAsia="宋体" w:cs="宋体"/>
          <w:b/>
        </w:rPr>
      </w:pPr>
      <w:r>
        <w:rPr>
          <w:rFonts w:hint="eastAsia" w:ascii="宋体" w:hAnsi="宋体" w:eastAsia="宋体" w:cs="宋体"/>
          <w:b/>
        </w:rPr>
        <w:t>方法</w:t>
      </w:r>
    </w:p>
    <w:p w14:paraId="6E5E8A82">
      <w:pPr>
        <w:spacing w:after="120"/>
        <w:rPr>
          <w:rFonts w:hint="eastAsia" w:ascii="宋体" w:hAnsi="宋体" w:eastAsia="宋体" w:cs="宋体"/>
        </w:rPr>
      </w:pPr>
      <w:r>
        <w:rPr>
          <w:rFonts w:hint="eastAsia" w:ascii="宋体" w:hAnsi="宋体" w:eastAsia="宋体" w:cs="宋体"/>
        </w:rPr>
        <w:t>在线 A 中，我们在 TN5000 上训练纯图像 EfficientNetV2-S 模型，并在两个外部队列（TN3K 和 Thy-Wise）上评估，同时训练一个额外加入 TN3K 图像的联合模型，与单数据集模型对比以量化跨数据集域漂移。在线 B 中，我们在 ThyroidXL 上比较了将图像编码器与五项临床特征（ACR TI-RADS 总分、结节宽和高、年龄、性别）融合的多模态模型、纯图像模型和纯临床模型。性能采用受试者工作特征曲线下面积（AUC）及自助法置信区间（CI）、灵敏度、特异度、期望校准误差（ECE）和决策曲线分析评估。</w:t>
      </w:r>
    </w:p>
    <w:p w14:paraId="394C0E68">
      <w:pPr>
        <w:spacing w:after="120"/>
        <w:rPr>
          <w:rFonts w:hint="eastAsia" w:ascii="宋体" w:hAnsi="宋体" w:eastAsia="宋体" w:cs="宋体"/>
          <w:b/>
        </w:rPr>
      </w:pPr>
      <w:r>
        <w:rPr>
          <w:rFonts w:hint="eastAsia" w:ascii="宋体" w:hAnsi="宋体" w:eastAsia="宋体" w:cs="宋体"/>
          <w:b/>
        </w:rPr>
        <w:t>结果</w:t>
      </w:r>
    </w:p>
    <w:p w14:paraId="22EC65D4">
      <w:pPr>
        <w:spacing w:after="120"/>
        <w:rPr>
          <w:rFonts w:hint="eastAsia" w:ascii="宋体" w:hAnsi="宋体" w:eastAsia="宋体" w:cs="宋体"/>
        </w:rPr>
      </w:pPr>
      <w:r>
        <w:rPr>
          <w:rFonts w:hint="eastAsia" w:ascii="宋体" w:hAnsi="宋体" w:eastAsia="宋体" w:cs="宋体"/>
        </w:rPr>
        <w:t>在线 A 中，单数据集模型内部测试 AUC 为 0.920，但在外部 TN3K 上降至 0.713、在 Thy-Wise 上（结节级）降至 0.608。联合训练将 TN3K 测试 AUC 从 0.729 提升至 0.814（匹配 Δ = +0.085），将 Thy-Wise 结节级 AUC 提升至 0.710（Δ = +0.102）。在线 B 中，融合模型结节级 AUC 达 0.947，高于纯图像（0.939）和纯临床（0.814）模型；图像特征占主导，临床特征带来小幅但一致的增益。</w:t>
      </w:r>
    </w:p>
    <w:p w14:paraId="3ED6A300">
      <w:pPr>
        <w:spacing w:after="120"/>
        <w:rPr>
          <w:rFonts w:hint="eastAsia" w:ascii="宋体" w:hAnsi="宋体" w:eastAsia="宋体" w:cs="宋体"/>
          <w:b/>
        </w:rPr>
      </w:pPr>
      <w:r>
        <w:rPr>
          <w:rFonts w:hint="eastAsia" w:ascii="宋体" w:hAnsi="宋体" w:eastAsia="宋体" w:cs="宋体"/>
          <w:b/>
        </w:rPr>
        <w:t>结论</w:t>
      </w:r>
    </w:p>
    <w:p w14:paraId="06A19C79">
      <w:pPr>
        <w:spacing w:after="120"/>
        <w:rPr>
          <w:rFonts w:hint="eastAsia" w:ascii="宋体" w:hAnsi="宋体" w:eastAsia="宋体" w:cs="宋体"/>
        </w:rPr>
      </w:pPr>
      <w:r>
        <w:rPr>
          <w:rFonts w:hint="eastAsia" w:ascii="宋体" w:hAnsi="宋体" w:eastAsia="宋体" w:cs="宋体"/>
        </w:rPr>
        <w:t>在四个公共数据集上，纯图像分类器内部 AUC 高但外部性能显著下降，量化了跨数据集域漂移；联合多数据集训练在新增队列和未见队列上都部分恢复了差距。在 ThyroidXL 上加入结构化临床特征带来小幅但一致的判别改善，支持结构化先验作为补充信号，而图像特征仍占主导。</w:t>
      </w:r>
    </w:p>
    <w:p w14:paraId="507B8F93">
      <w:pPr>
        <w:pStyle w:val="3"/>
        <w:rPr>
          <w:rFonts w:hint="eastAsia" w:ascii="宋体" w:hAnsi="宋体" w:eastAsia="宋体" w:cs="宋体"/>
        </w:rPr>
      </w:pPr>
      <w:r>
        <w:rPr>
          <w:rFonts w:hint="eastAsia" w:ascii="宋体" w:hAnsi="宋体" w:eastAsia="宋体" w:cs="宋体"/>
        </w:rPr>
        <w:t>1. 引言</w:t>
      </w:r>
    </w:p>
    <w:p w14:paraId="1544344C">
      <w:pPr>
        <w:spacing w:after="120"/>
        <w:rPr>
          <w:rFonts w:hint="eastAsia" w:ascii="宋体" w:hAnsi="宋体" w:eastAsia="宋体" w:cs="宋体"/>
        </w:rPr>
      </w:pPr>
      <w:r>
        <w:rPr>
          <w:rFonts w:hint="eastAsia" w:ascii="宋体" w:hAnsi="宋体" w:eastAsia="宋体" w:cs="宋体"/>
        </w:rPr>
        <w:t>甲状腺结节是最常见的内分泌发现之一：一项一般人群荟萃分析估计汇总患病率为 24.8%（95% CI 21.4–28.6%）</w:t>
      </w:r>
      <w:r>
        <w:rPr>
          <w:rFonts w:hint="eastAsia" w:ascii="宋体" w:hAnsi="宋体" w:eastAsia="宋体" w:cs="宋体"/>
        </w:rPr>
        <w:fldChar w:fldCharType="begin"/>
      </w:r>
      <w:r>
        <w:rPr>
          <w:rFonts w:hint="eastAsia" w:ascii="宋体" w:hAnsi="宋体" w:eastAsia="宋体" w:cs="宋体"/>
        </w:rPr>
        <w:instrText xml:space="preserve"> HYPERLINK \l "Ref1" \h </w:instrText>
      </w:r>
      <w:r>
        <w:rPr>
          <w:rFonts w:hint="eastAsia" w:ascii="宋体" w:hAnsi="宋体" w:eastAsia="宋体" w:cs="宋体"/>
        </w:rPr>
        <w:fldChar w:fldCharType="separate"/>
      </w:r>
      <w:r>
        <w:rPr>
          <w:rFonts w:hint="eastAsia" w:ascii="宋体" w:hAnsi="宋体" w:eastAsia="宋体" w:cs="宋体"/>
          <w:color w:val="0563C1"/>
          <w:u w:val="single"/>
        </w:rPr>
        <w:t>1</w:t>
      </w:r>
      <w:r>
        <w:rPr>
          <w:rFonts w:hint="eastAsia" w:ascii="宋体" w:hAnsi="宋体" w:eastAsia="宋体" w:cs="宋体"/>
          <w:color w:val="0563C1"/>
          <w:u w:val="single"/>
        </w:rPr>
        <w:fldChar w:fldCharType="end"/>
      </w:r>
      <w:r>
        <w:rPr>
          <w:rFonts w:hint="eastAsia" w:ascii="宋体" w:hAnsi="宋体" w:eastAsia="宋体" w:cs="宋体"/>
        </w:rPr>
        <w:t xml:space="preserve">，但绝大多数为良性。这一高患病率加之甲状腺癌发病率的上升，引发了关于过度诊断和不必要手术的担忧 </w:t>
      </w:r>
      <w:r>
        <w:rPr>
          <w:rFonts w:hint="eastAsia" w:ascii="宋体" w:hAnsi="宋体" w:eastAsia="宋体" w:cs="宋体"/>
        </w:rPr>
        <w:fldChar w:fldCharType="begin"/>
      </w:r>
      <w:r>
        <w:rPr>
          <w:rFonts w:hint="eastAsia" w:ascii="宋体" w:hAnsi="宋体" w:eastAsia="宋体" w:cs="宋体"/>
        </w:rPr>
        <w:instrText xml:space="preserve"> HYPERLINK \l "Ref2" \h </w:instrText>
      </w:r>
      <w:r>
        <w:rPr>
          <w:rFonts w:hint="eastAsia" w:ascii="宋体" w:hAnsi="宋体" w:eastAsia="宋体" w:cs="宋体"/>
        </w:rPr>
        <w:fldChar w:fldCharType="separate"/>
      </w:r>
      <w:r>
        <w:rPr>
          <w:rFonts w:hint="eastAsia" w:ascii="宋体" w:hAnsi="宋体" w:eastAsia="宋体" w:cs="宋体"/>
          <w:color w:val="0563C1"/>
          <w:u w:val="single"/>
        </w:rPr>
        <w:t>2</w:t>
      </w:r>
      <w:r>
        <w:rPr>
          <w:rFonts w:hint="eastAsia" w:ascii="宋体" w:hAnsi="宋体" w:eastAsia="宋体" w:cs="宋体"/>
          <w:color w:val="0563C1"/>
          <w:u w:val="single"/>
        </w:rPr>
        <w:fldChar w:fldCharType="end"/>
      </w:r>
      <w:r>
        <w:rPr>
          <w:rFonts w:hint="eastAsia" w:ascii="宋体" w:hAnsi="宋体" w:eastAsia="宋体" w:cs="宋体"/>
        </w:rPr>
        <w:t xml:space="preserve">。甲状腺超声因无创、无辐射且广泛可得，仍是结节评估的一线影像手段；然而判读具主观性且高度依赖操作者，良恶性结节的声像图特征重叠也限制了诊断可重复性 </w:t>
      </w:r>
      <w:r>
        <w:rPr>
          <w:rFonts w:hint="eastAsia" w:ascii="宋体" w:hAnsi="宋体" w:eastAsia="宋体" w:cs="宋体"/>
        </w:rPr>
        <w:fldChar w:fldCharType="begin"/>
      </w:r>
      <w:r>
        <w:rPr>
          <w:rFonts w:hint="eastAsia" w:ascii="宋体" w:hAnsi="宋体" w:eastAsia="宋体" w:cs="宋体"/>
        </w:rPr>
        <w:instrText xml:space="preserve"> HYPERLINK \l "Ref3" \h </w:instrText>
      </w:r>
      <w:r>
        <w:rPr>
          <w:rFonts w:hint="eastAsia" w:ascii="宋体" w:hAnsi="宋体" w:eastAsia="宋体" w:cs="宋体"/>
        </w:rPr>
        <w:fldChar w:fldCharType="separate"/>
      </w:r>
      <w:r>
        <w:rPr>
          <w:rFonts w:hint="eastAsia" w:ascii="宋体" w:hAnsi="宋体" w:eastAsia="宋体" w:cs="宋体"/>
          <w:color w:val="0563C1"/>
          <w:u w:val="single"/>
        </w:rPr>
        <w:t>3</w:t>
      </w:r>
      <w:r>
        <w:rPr>
          <w:rFonts w:hint="eastAsia" w:ascii="宋体" w:hAnsi="宋体" w:eastAsia="宋体" w:cs="宋体"/>
          <w:color w:val="0563C1"/>
          <w:u w:val="single"/>
        </w:rPr>
        <w:fldChar w:fldCharType="end"/>
      </w:r>
      <w:r>
        <w:rPr>
          <w:rFonts w:hint="eastAsia" w:ascii="宋体" w:hAnsi="宋体" w:eastAsia="宋体" w:cs="宋体"/>
        </w:rPr>
        <w:t>。</w:t>
      </w:r>
    </w:p>
    <w:p w14:paraId="30729188">
      <w:pPr>
        <w:spacing w:after="120"/>
        <w:rPr>
          <w:rFonts w:hint="eastAsia" w:ascii="宋体" w:hAnsi="宋体" w:eastAsia="宋体" w:cs="宋体"/>
        </w:rPr>
      </w:pPr>
      <w:r>
        <w:rPr>
          <w:rFonts w:hint="eastAsia" w:ascii="宋体" w:hAnsi="宋体" w:eastAsia="宋体" w:cs="宋体"/>
        </w:rPr>
        <w:t xml:space="preserve">深度学习已成为支持甲状腺结节分类、分割与检测的有前景工具 </w:t>
      </w:r>
      <w:r>
        <w:rPr>
          <w:rFonts w:hint="eastAsia" w:ascii="宋体" w:hAnsi="宋体" w:eastAsia="宋体" w:cs="宋体"/>
        </w:rPr>
        <w:fldChar w:fldCharType="begin"/>
      </w:r>
      <w:r>
        <w:rPr>
          <w:rFonts w:hint="eastAsia" w:ascii="宋体" w:hAnsi="宋体" w:eastAsia="宋体" w:cs="宋体"/>
        </w:rPr>
        <w:instrText xml:space="preserve"> HYPERLINK \l "Ref4" \h </w:instrText>
      </w:r>
      <w:r>
        <w:rPr>
          <w:rFonts w:hint="eastAsia" w:ascii="宋体" w:hAnsi="宋体" w:eastAsia="宋体" w:cs="宋体"/>
        </w:rPr>
        <w:fldChar w:fldCharType="separate"/>
      </w:r>
      <w:r>
        <w:rPr>
          <w:rFonts w:hint="eastAsia" w:ascii="宋体" w:hAnsi="宋体" w:eastAsia="宋体" w:cs="宋体"/>
          <w:color w:val="0563C1"/>
          <w:u w:val="single"/>
        </w:rPr>
        <w:t>4</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"Ref5" \h </w:instrText>
      </w:r>
      <w:r>
        <w:rPr>
          <w:rFonts w:hint="eastAsia" w:ascii="宋体" w:hAnsi="宋体" w:eastAsia="宋体" w:cs="宋体"/>
        </w:rPr>
        <w:fldChar w:fldCharType="separate"/>
      </w:r>
      <w:r>
        <w:rPr>
          <w:rFonts w:hint="eastAsia" w:ascii="宋体" w:hAnsi="宋体" w:eastAsia="宋体" w:cs="宋体"/>
          <w:color w:val="0563C1"/>
          <w:u w:val="single"/>
        </w:rPr>
        <w:t>5</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"Ref6" \h </w:instrText>
      </w:r>
      <w:r>
        <w:rPr>
          <w:rFonts w:hint="eastAsia" w:ascii="宋体" w:hAnsi="宋体" w:eastAsia="宋体" w:cs="宋体"/>
        </w:rPr>
        <w:fldChar w:fldCharType="separate"/>
      </w:r>
      <w:r>
        <w:rPr>
          <w:rFonts w:hint="eastAsia" w:ascii="宋体" w:hAnsi="宋体" w:eastAsia="宋体" w:cs="宋体"/>
          <w:color w:val="0563C1"/>
          <w:u w:val="single"/>
        </w:rPr>
        <w:t>6</w:t>
      </w:r>
      <w:r>
        <w:rPr>
          <w:rFonts w:hint="eastAsia" w:ascii="宋体" w:hAnsi="宋体" w:eastAsia="宋体" w:cs="宋体"/>
          <w:color w:val="0563C1"/>
          <w:u w:val="single"/>
        </w:rPr>
        <w:fldChar w:fldCharType="end"/>
      </w:r>
      <w:r>
        <w:rPr>
          <w:rFonts w:hint="eastAsia" w:ascii="宋体" w:hAnsi="宋体" w:eastAsia="宋体" w:cs="宋体"/>
        </w:rPr>
        <w:t xml:space="preserve">。大量基于卷积神经网络和视觉变换器的模型在内部测试集上报告了高诊断准确率 </w:t>
      </w:r>
      <w:r>
        <w:rPr>
          <w:rFonts w:hint="eastAsia" w:ascii="宋体" w:hAnsi="宋体" w:eastAsia="宋体" w:cs="宋体"/>
        </w:rPr>
        <w:fldChar w:fldCharType="begin"/>
      </w:r>
      <w:r>
        <w:rPr>
          <w:rFonts w:hint="eastAsia" w:ascii="宋体" w:hAnsi="宋体" w:eastAsia="宋体" w:cs="宋体"/>
        </w:rPr>
        <w:instrText xml:space="preserve"> HYPERLINK \l "Ref7" \h </w:instrText>
      </w:r>
      <w:r>
        <w:rPr>
          <w:rFonts w:hint="eastAsia" w:ascii="宋体" w:hAnsi="宋体" w:eastAsia="宋体" w:cs="宋体"/>
        </w:rPr>
        <w:fldChar w:fldCharType="separate"/>
      </w:r>
      <w:r>
        <w:rPr>
          <w:rFonts w:hint="eastAsia" w:ascii="宋体" w:hAnsi="宋体" w:eastAsia="宋体" w:cs="宋体"/>
          <w:color w:val="0563C1"/>
          <w:u w:val="single"/>
        </w:rPr>
        <w:t>7</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"Ref8" \h </w:instrText>
      </w:r>
      <w:r>
        <w:rPr>
          <w:rFonts w:hint="eastAsia" w:ascii="宋体" w:hAnsi="宋体" w:eastAsia="宋体" w:cs="宋体"/>
        </w:rPr>
        <w:fldChar w:fldCharType="separate"/>
      </w:r>
      <w:r>
        <w:rPr>
          <w:rFonts w:hint="eastAsia" w:ascii="宋体" w:hAnsi="宋体" w:eastAsia="宋体" w:cs="宋体"/>
          <w:color w:val="0563C1"/>
          <w:u w:val="single"/>
        </w:rPr>
        <w:t>8</w:t>
      </w:r>
      <w:r>
        <w:rPr>
          <w:rFonts w:hint="eastAsia" w:ascii="宋体" w:hAnsi="宋体" w:eastAsia="宋体" w:cs="宋体"/>
          <w:color w:val="0563C1"/>
          <w:u w:val="single"/>
        </w:rPr>
        <w:fldChar w:fldCharType="end"/>
      </w:r>
      <w:r>
        <w:rPr>
          <w:rFonts w:hint="eastAsia" w:ascii="宋体" w:hAnsi="宋体" w:eastAsia="宋体" w:cs="宋体"/>
        </w:rPr>
        <w:t>。若干开放数据集加速了这一进展，包括 DDTI（637 张）</w:t>
      </w:r>
      <w:r>
        <w:rPr>
          <w:rFonts w:hint="eastAsia" w:ascii="宋体" w:hAnsi="宋体" w:eastAsia="宋体" w:cs="宋体"/>
        </w:rPr>
        <w:fldChar w:fldCharType="begin"/>
      </w:r>
      <w:r>
        <w:rPr>
          <w:rFonts w:hint="eastAsia" w:ascii="宋体" w:hAnsi="宋体" w:eastAsia="宋体" w:cs="宋体"/>
        </w:rPr>
        <w:instrText xml:space="preserve"> HYPERLINK \l "Ref9" \h </w:instrText>
      </w:r>
      <w:r>
        <w:rPr>
          <w:rFonts w:hint="eastAsia" w:ascii="宋体" w:hAnsi="宋体" w:eastAsia="宋体" w:cs="宋体"/>
        </w:rPr>
        <w:fldChar w:fldCharType="separate"/>
      </w:r>
      <w:r>
        <w:rPr>
          <w:rFonts w:hint="eastAsia" w:ascii="宋体" w:hAnsi="宋体" w:eastAsia="宋体" w:cs="宋体"/>
          <w:color w:val="0563C1"/>
          <w:u w:val="single"/>
        </w:rPr>
        <w:t>9</w:t>
      </w:r>
      <w:r>
        <w:rPr>
          <w:rFonts w:hint="eastAsia" w:ascii="宋体" w:hAnsi="宋体" w:eastAsia="宋体" w:cs="宋体"/>
          <w:color w:val="0563C1"/>
          <w:u w:val="single"/>
        </w:rPr>
        <w:fldChar w:fldCharType="end"/>
      </w:r>
      <w:r>
        <w:rPr>
          <w:rFonts w:hint="eastAsia" w:ascii="宋体" w:hAnsi="宋体" w:eastAsia="宋体" w:cs="宋体"/>
        </w:rPr>
        <w:t>、TN3K（3,493 张）</w:t>
      </w:r>
      <w:r>
        <w:rPr>
          <w:rFonts w:hint="eastAsia" w:ascii="宋体" w:hAnsi="宋体" w:eastAsia="宋体" w:cs="宋体"/>
        </w:rPr>
        <w:fldChar w:fldCharType="begin"/>
      </w:r>
      <w:r>
        <w:rPr>
          <w:rFonts w:hint="eastAsia" w:ascii="宋体" w:hAnsi="宋体" w:eastAsia="宋体" w:cs="宋体"/>
        </w:rPr>
        <w:instrText xml:space="preserve"> HYPERLINK \l "Ref10" \h </w:instrText>
      </w:r>
      <w:r>
        <w:rPr>
          <w:rFonts w:hint="eastAsia" w:ascii="宋体" w:hAnsi="宋体" w:eastAsia="宋体" w:cs="宋体"/>
        </w:rPr>
        <w:fldChar w:fldCharType="separate"/>
      </w:r>
      <w:r>
        <w:rPr>
          <w:rFonts w:hint="eastAsia" w:ascii="宋体" w:hAnsi="宋体" w:eastAsia="宋体" w:cs="宋体"/>
          <w:color w:val="0563C1"/>
          <w:u w:val="single"/>
        </w:rPr>
        <w:t>10</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"Ref11" \h </w:instrText>
      </w:r>
      <w:r>
        <w:rPr>
          <w:rFonts w:hint="eastAsia" w:ascii="宋体" w:hAnsi="宋体" w:eastAsia="宋体" w:cs="宋体"/>
        </w:rPr>
        <w:fldChar w:fldCharType="separate"/>
      </w:r>
      <w:r>
        <w:rPr>
          <w:rFonts w:hint="eastAsia" w:ascii="宋体" w:hAnsi="宋体" w:eastAsia="宋体" w:cs="宋体"/>
          <w:color w:val="0563C1"/>
          <w:u w:val="single"/>
        </w:rPr>
        <w:t>11</w:t>
      </w:r>
      <w:r>
        <w:rPr>
          <w:rFonts w:hint="eastAsia" w:ascii="宋体" w:hAnsi="宋体" w:eastAsia="宋体" w:cs="宋体"/>
          <w:color w:val="0563C1"/>
          <w:u w:val="single"/>
        </w:rPr>
        <w:fldChar w:fldCharType="end"/>
      </w:r>
      <w:r>
        <w:rPr>
          <w:rFonts w:hint="eastAsia" w:ascii="宋体" w:hAnsi="宋体" w:eastAsia="宋体" w:cs="宋体"/>
        </w:rPr>
        <w:t>、TN5000 数据集（5,000 张，有活检确认）</w:t>
      </w:r>
      <w:r>
        <w:rPr>
          <w:rFonts w:hint="eastAsia" w:ascii="宋体" w:hAnsi="宋体" w:eastAsia="宋体" w:cs="宋体"/>
        </w:rPr>
        <w:fldChar w:fldCharType="begin"/>
      </w:r>
      <w:r>
        <w:rPr>
          <w:rFonts w:hint="eastAsia" w:ascii="宋体" w:hAnsi="宋体" w:eastAsia="宋体" w:cs="宋体"/>
        </w:rPr>
        <w:instrText xml:space="preserve"> HYPERLINK \l "Ref12" \h </w:instrText>
      </w:r>
      <w:r>
        <w:rPr>
          <w:rFonts w:hint="eastAsia" w:ascii="宋体" w:hAnsi="宋体" w:eastAsia="宋体" w:cs="宋体"/>
        </w:rPr>
        <w:fldChar w:fldCharType="separate"/>
      </w:r>
      <w:r>
        <w:rPr>
          <w:rFonts w:hint="eastAsia" w:ascii="宋体" w:hAnsi="宋体" w:eastAsia="宋体" w:cs="宋体"/>
          <w:color w:val="0563C1"/>
          <w:u w:val="single"/>
        </w:rPr>
        <w:t>12</w:t>
      </w:r>
      <w:r>
        <w:rPr>
          <w:rFonts w:hint="eastAsia" w:ascii="宋体" w:hAnsi="宋体" w:eastAsia="宋体" w:cs="宋体"/>
          <w:color w:val="0563C1"/>
          <w:u w:val="single"/>
        </w:rPr>
        <w:fldChar w:fldCharType="end"/>
      </w:r>
      <w:r>
        <w:rPr>
          <w:rFonts w:hint="eastAsia" w:ascii="宋体" w:hAnsi="宋体" w:eastAsia="宋体" w:cs="宋体"/>
        </w:rPr>
        <w:t>，以及专家标注的 ThyroidXL 基准（11,635 张）</w:t>
      </w:r>
      <w:r>
        <w:rPr>
          <w:rFonts w:hint="eastAsia" w:ascii="宋体" w:hAnsi="宋体" w:eastAsia="宋体" w:cs="宋体"/>
        </w:rPr>
        <w:fldChar w:fldCharType="begin"/>
      </w:r>
      <w:r>
        <w:rPr>
          <w:rFonts w:hint="eastAsia" w:ascii="宋体" w:hAnsi="宋体" w:eastAsia="宋体" w:cs="宋体"/>
        </w:rPr>
        <w:instrText xml:space="preserve"> HYPERLINK \l "Ref13" \h </w:instrText>
      </w:r>
      <w:r>
        <w:rPr>
          <w:rFonts w:hint="eastAsia" w:ascii="宋体" w:hAnsi="宋体" w:eastAsia="宋体" w:cs="宋体"/>
        </w:rPr>
        <w:fldChar w:fldCharType="separate"/>
      </w:r>
      <w:r>
        <w:rPr>
          <w:rFonts w:hint="eastAsia" w:ascii="宋体" w:hAnsi="宋体" w:eastAsia="宋体" w:cs="宋体"/>
          <w:color w:val="0563C1"/>
          <w:u w:val="single"/>
        </w:rPr>
        <w:t>13</w:t>
      </w:r>
      <w:r>
        <w:rPr>
          <w:rFonts w:hint="eastAsia" w:ascii="宋体" w:hAnsi="宋体" w:eastAsia="宋体" w:cs="宋体"/>
          <w:color w:val="0563C1"/>
          <w:u w:val="single"/>
        </w:rPr>
        <w:fldChar w:fldCharType="end"/>
      </w:r>
      <w:r>
        <w:rPr>
          <w:rFonts w:hint="eastAsia" w:ascii="宋体" w:hAnsi="宋体" w:eastAsia="宋体" w:cs="宋体"/>
        </w:rPr>
        <w:t>。尽管有此进展，文献中仍存在三点局限。第一，多数研究在单一数据集上评估，同机构训练的模型会因医院、超声设备和患者人群间的域漂移而高估真实世界性能。第二，绝大多数模型为纯图像模型，弃用了放射科医生常规使用的结构化临床信息，如 ACR TI-RADS 描述符。第三，已报道模型很少包含校准指标或决策曲线分析，而这些对临床效用评估至关重要。</w:t>
      </w:r>
    </w:p>
    <w:p w14:paraId="4C6DE808">
      <w:pPr>
        <w:spacing w:after="120"/>
        <w:rPr>
          <w:rFonts w:hint="eastAsia" w:ascii="宋体" w:hAnsi="宋体" w:eastAsia="宋体" w:cs="宋体"/>
        </w:rPr>
      </w:pPr>
      <w:r>
        <w:rPr>
          <w:rFonts w:hint="eastAsia" w:ascii="宋体" w:hAnsi="宋体" w:eastAsia="宋体" w:cs="宋体"/>
        </w:rPr>
        <w:t xml:space="preserve">ACR TI-RADS 词表提供了标准化、与设备无关的结节成分、回声、形态、边缘和强回声灶描述，其总分是恶性风险的已验证预测因子 </w:t>
      </w:r>
      <w:r>
        <w:rPr>
          <w:rFonts w:hint="eastAsia" w:ascii="宋体" w:hAnsi="宋体" w:eastAsia="宋体" w:cs="宋体"/>
        </w:rPr>
        <w:fldChar w:fldCharType="begin"/>
      </w:r>
      <w:r>
        <w:rPr>
          <w:rFonts w:hint="eastAsia" w:ascii="宋体" w:hAnsi="宋体" w:eastAsia="宋体" w:cs="宋体"/>
        </w:rPr>
        <w:instrText xml:space="preserve"> HYPERLINK \l "Ref3" \h </w:instrText>
      </w:r>
      <w:r>
        <w:rPr>
          <w:rFonts w:hint="eastAsia" w:ascii="宋体" w:hAnsi="宋体" w:eastAsia="宋体" w:cs="宋体"/>
        </w:rPr>
        <w:fldChar w:fldCharType="separate"/>
      </w:r>
      <w:r>
        <w:rPr>
          <w:rFonts w:hint="eastAsia" w:ascii="宋体" w:hAnsi="宋体" w:eastAsia="宋体" w:cs="宋体"/>
          <w:color w:val="0563C1"/>
          <w:u w:val="single"/>
        </w:rPr>
        <w:t>3</w:t>
      </w:r>
      <w:r>
        <w:rPr>
          <w:rFonts w:hint="eastAsia" w:ascii="宋体" w:hAnsi="宋体" w:eastAsia="宋体" w:cs="宋体"/>
          <w:color w:val="0563C1"/>
          <w:u w:val="single"/>
        </w:rPr>
        <w:fldChar w:fldCharType="end"/>
      </w:r>
      <w:r>
        <w:rPr>
          <w:rFonts w:hint="eastAsia" w:ascii="宋体" w:hAnsi="宋体" w:eastAsia="宋体" w:cs="宋体"/>
        </w:rPr>
        <w:t>。由于这些特征按语义而非图像统计定义，原则上受采集变异的影响小于原始像素。将这类结构化临床特征与图像深度特征融合能否改善分类、增益是否跨数据集稳健，尚未在公共多队列数据上系统检验。因此，我们评估了一个将图像特征与结构化临床特征（ACR TI-RADS 评分、结节宽和高、年龄、性别）融合的多模态框架，并量化了融合模型相对纯图像和纯临床配置的内部增益与行为。</w:t>
      </w:r>
    </w:p>
    <w:p w14:paraId="1273890D">
      <w:pPr>
        <w:spacing w:after="120"/>
        <w:rPr>
          <w:rFonts w:hint="eastAsia" w:ascii="宋体" w:hAnsi="宋体" w:eastAsia="宋体" w:cs="宋体"/>
        </w:rPr>
      </w:pPr>
      <w:r>
        <w:rPr>
          <w:rFonts w:hint="eastAsia" w:ascii="宋体" w:hAnsi="宋体" w:eastAsia="宋体" w:cs="宋体"/>
        </w:rPr>
        <w:t>在本研究中，我们开发并系统评估了一个多模态框架，将 EfficientNetV2 图像编码器与处理五项结构化临床特征（专家 TI-RADS 总分和结节人口学特征）的临床编码器相结合。我们的贡献有三：其一，对纯图像、纯临床和融合模型进行头对头消融；其二，通过在独立多设备数据集上外部验证来量化跨数据集域漂移，并评估联合多数据集训练能否缓解观察到的性能差距；其三，报告校准（期望校准误差）和决策曲线分析以评估临床效用，遵循 STARD 2015 和 TRIPOD 报告指南。</w:t>
      </w:r>
    </w:p>
    <w:p w14:paraId="4CDA970B">
      <w:pPr>
        <w:pStyle w:val="3"/>
        <w:rPr>
          <w:rFonts w:hint="eastAsia" w:ascii="宋体" w:hAnsi="宋体" w:eastAsia="宋体" w:cs="宋体"/>
        </w:rPr>
      </w:pPr>
      <w:r>
        <w:rPr>
          <w:rFonts w:hint="eastAsia" w:ascii="宋体" w:hAnsi="宋体" w:eastAsia="宋体" w:cs="宋体"/>
        </w:rPr>
        <w:t>2. 方法</w:t>
      </w:r>
    </w:p>
    <w:p w14:paraId="213F3A6A">
      <w:pPr>
        <w:pStyle w:val="4"/>
        <w:rPr>
          <w:rFonts w:hint="eastAsia" w:ascii="宋体" w:hAnsi="宋体" w:eastAsia="宋体" w:cs="宋体"/>
        </w:rPr>
      </w:pPr>
      <w:r>
        <w:rPr>
          <w:rFonts w:hint="eastAsia" w:ascii="宋体" w:hAnsi="宋体" w:eastAsia="宋体" w:cs="宋体"/>
        </w:rPr>
        <w:t>2.1 数据集</w:t>
      </w:r>
    </w:p>
    <w:p w14:paraId="54C43925">
      <w:pPr>
        <w:spacing w:after="120"/>
        <w:rPr>
          <w:rFonts w:hint="eastAsia" w:ascii="宋体" w:hAnsi="宋体" w:eastAsia="宋体" w:cs="宋体"/>
        </w:rPr>
      </w:pPr>
      <w:r>
        <w:rPr>
          <w:rFonts w:hint="eastAsia" w:ascii="宋体" w:hAnsi="宋体" w:eastAsia="宋体" w:cs="宋体"/>
        </w:rPr>
        <w:t>我们使用了四个含良/恶性标签的公共甲状腺超声数据集（研究流程见图 1）；其特征汇总于表 1。</w:t>
      </w:r>
    </w:p>
    <w:p w14:paraId="5B1C23F4">
      <w:pPr>
        <w:spacing w:after="120"/>
        <w:rPr>
          <w:rFonts w:hint="eastAsia" w:ascii="宋体" w:hAnsi="宋体" w:eastAsia="宋体" w:cs="宋体"/>
        </w:rPr>
      </w:pPr>
      <w:r>
        <w:rPr>
          <w:rFonts w:hint="eastAsia" w:ascii="宋体" w:hAnsi="宋体" w:eastAsia="宋体" w:cs="宋体"/>
        </w:rPr>
        <w:t>TN5000 数据集（Zhang 等，Scientific Data，2025）</w:t>
      </w:r>
      <w:r>
        <w:rPr>
          <w:rFonts w:hint="eastAsia" w:ascii="宋体" w:hAnsi="宋体" w:eastAsia="宋体" w:cs="宋体"/>
        </w:rPr>
        <w:fldChar w:fldCharType="begin"/>
      </w:r>
      <w:r>
        <w:rPr>
          <w:rFonts w:hint="eastAsia" w:ascii="宋体" w:hAnsi="宋体" w:eastAsia="宋体" w:cs="宋体"/>
        </w:rPr>
        <w:instrText xml:space="preserve"> HYPERLINK \l "Ref12" \h </w:instrText>
      </w:r>
      <w:r>
        <w:rPr>
          <w:rFonts w:hint="eastAsia" w:ascii="宋体" w:hAnsi="宋体" w:eastAsia="宋体" w:cs="宋体"/>
        </w:rPr>
        <w:fldChar w:fldCharType="separate"/>
      </w:r>
      <w:r>
        <w:rPr>
          <w:rFonts w:hint="eastAsia" w:ascii="宋体" w:hAnsi="宋体" w:eastAsia="宋体" w:cs="宋体"/>
          <w:color w:val="0563C1"/>
          <w:u w:val="single"/>
        </w:rPr>
        <w:t>12</w:t>
      </w:r>
      <w:r>
        <w:rPr>
          <w:rFonts w:hint="eastAsia" w:ascii="宋体" w:hAnsi="宋体" w:eastAsia="宋体" w:cs="宋体"/>
          <w:color w:val="0563C1"/>
          <w:u w:val="single"/>
        </w:rPr>
        <w:fldChar w:fldCharType="end"/>
      </w:r>
      <w:r>
        <w:rPr>
          <w:rFonts w:hint="eastAsia" w:ascii="宋体" w:hAnsi="宋体" w:eastAsia="宋体" w:cs="宋体"/>
        </w:rPr>
        <w:t xml:space="preserve"> 含 5,000 张甲状腺结节 B 型超声图像，带专家放射科医生标签和活检确认，专为检测与分类设计。在本版本中，1,426 张为良性、3,574 张为恶性。我们将 TN5000 用于模型开发，按患者分组随机划分为 70%/15%/15% 的训练、验证和内部测试集。</w:t>
      </w:r>
    </w:p>
    <w:p w14:paraId="67098B6A">
      <w:pPr>
        <w:spacing w:after="120"/>
        <w:rPr>
          <w:rFonts w:hint="eastAsia" w:ascii="宋体" w:hAnsi="宋体" w:eastAsia="宋体" w:cs="宋体"/>
        </w:rPr>
      </w:pPr>
      <w:r>
        <w:rPr>
          <w:rFonts w:hint="eastAsia" w:ascii="宋体" w:hAnsi="宋体" w:eastAsia="宋体" w:cs="宋体"/>
        </w:rPr>
        <w:t>TN3K 数据集（Gong 等，ISBI 2021 / CBM 2022）</w:t>
      </w:r>
      <w:r>
        <w:rPr>
          <w:rFonts w:hint="eastAsia" w:ascii="宋体" w:hAnsi="宋体" w:eastAsia="宋体" w:cs="宋体"/>
        </w:rPr>
        <w:fldChar w:fldCharType="begin"/>
      </w:r>
      <w:r>
        <w:rPr>
          <w:rFonts w:hint="eastAsia" w:ascii="宋体" w:hAnsi="宋体" w:eastAsia="宋体" w:cs="宋体"/>
        </w:rPr>
        <w:instrText xml:space="preserve"> HYPERLINK \l "Ref10" \h </w:instrText>
      </w:r>
      <w:r>
        <w:rPr>
          <w:rFonts w:hint="eastAsia" w:ascii="宋体" w:hAnsi="宋体" w:eastAsia="宋体" w:cs="宋体"/>
        </w:rPr>
        <w:fldChar w:fldCharType="separate"/>
      </w:r>
      <w:r>
        <w:rPr>
          <w:rFonts w:hint="eastAsia" w:ascii="宋体" w:hAnsi="宋体" w:eastAsia="宋体" w:cs="宋体"/>
          <w:color w:val="0563C1"/>
          <w:u w:val="single"/>
        </w:rPr>
        <w:t>10</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"Ref11" \h </w:instrText>
      </w:r>
      <w:r>
        <w:rPr>
          <w:rFonts w:hint="eastAsia" w:ascii="宋体" w:hAnsi="宋体" w:eastAsia="宋体" w:cs="宋体"/>
        </w:rPr>
        <w:fldChar w:fldCharType="separate"/>
      </w:r>
      <w:r>
        <w:rPr>
          <w:rFonts w:hint="eastAsia" w:ascii="宋体" w:hAnsi="宋体" w:eastAsia="宋体" w:cs="宋体"/>
          <w:color w:val="0563C1"/>
          <w:u w:val="single"/>
        </w:rPr>
        <w:t>11</w:t>
      </w:r>
      <w:r>
        <w:rPr>
          <w:rFonts w:hint="eastAsia" w:ascii="宋体" w:hAnsi="宋体" w:eastAsia="宋体" w:cs="宋体"/>
          <w:color w:val="0563C1"/>
          <w:u w:val="single"/>
        </w:rPr>
        <w:fldChar w:fldCharType="end"/>
      </w:r>
      <w:r>
        <w:rPr>
          <w:rFonts w:hint="eastAsia" w:ascii="宋体" w:hAnsi="宋体" w:eastAsia="宋体" w:cs="宋体"/>
        </w:rPr>
        <w:t xml:space="preserve"> 含来自 2,421 名患者、由多种超声设备采集的 3,493 张超声图像，带有分割掩膜和良/恶性标签（0 = 良性，1 = 恶性）。TN3K 用作外部验证队列以评估跨数据集泛化。单数据集评估中，全部 3,493 张 TN3K 图像（2,283 张良性、1,210 张恶性）均不参与训练。联合训练实验中，TN3K 训练图像（n = 2,879）被加入训练池，官方 TN3K 测试集（n = 614）用于外部评估。</w:t>
      </w:r>
    </w:p>
    <w:p w14:paraId="5637A855">
      <w:pPr>
        <w:spacing w:after="120"/>
        <w:rPr>
          <w:rFonts w:hint="eastAsia" w:ascii="宋体" w:hAnsi="宋体" w:eastAsia="宋体" w:cs="宋体"/>
        </w:rPr>
      </w:pPr>
      <w:r>
        <w:rPr>
          <w:rFonts w:hint="eastAsia" w:ascii="宋体" w:hAnsi="宋体" w:eastAsia="宋体" w:cs="宋体"/>
        </w:rPr>
        <w:t>Thy-Wise 数据集（Jin 等，International Journal of Cancer，2022）</w:t>
      </w:r>
      <w:r>
        <w:rPr>
          <w:rFonts w:hint="eastAsia" w:ascii="宋体" w:hAnsi="宋体" w:eastAsia="宋体" w:cs="宋体"/>
        </w:rPr>
        <w:fldChar w:fldCharType="begin"/>
      </w:r>
      <w:r>
        <w:rPr>
          <w:rFonts w:hint="eastAsia" w:ascii="宋体" w:hAnsi="宋体" w:eastAsia="宋体" w:cs="宋体"/>
        </w:rPr>
        <w:instrText xml:space="preserve"> HYPERLINK \l "Ref14" \h </w:instrText>
      </w:r>
      <w:r>
        <w:rPr>
          <w:rFonts w:hint="eastAsia" w:ascii="宋体" w:hAnsi="宋体" w:eastAsia="宋体" w:cs="宋体"/>
        </w:rPr>
        <w:fldChar w:fldCharType="separate"/>
      </w:r>
      <w:r>
        <w:rPr>
          <w:rFonts w:hint="eastAsia" w:ascii="宋体" w:hAnsi="宋体" w:eastAsia="宋体" w:cs="宋体"/>
          <w:color w:val="0563C1"/>
          <w:u w:val="single"/>
        </w:rPr>
        <w:t>14</w:t>
      </w:r>
      <w:r>
        <w:rPr>
          <w:rFonts w:hint="eastAsia" w:ascii="宋体" w:hAnsi="宋体" w:eastAsia="宋体" w:cs="宋体"/>
          <w:color w:val="0563C1"/>
          <w:u w:val="single"/>
        </w:rPr>
        <w:fldChar w:fldCharType="end"/>
      </w:r>
      <w:r>
        <w:rPr>
          <w:rFonts w:hint="eastAsia" w:ascii="宋体" w:hAnsi="宋体" w:eastAsia="宋体" w:cs="宋体"/>
        </w:rPr>
        <w:t xml:space="preserve"> 含暨南大学第一附属医院 3,954 个甲状腺结节的 B 型超声图像，以 CC BY 4.0 许可发布。每个结节由一张或多张图像表示（中位数 7，范围 1–48），在一次检查中采集，良/恶性类别经病理确认。我们将 Thy-Wise 仅用作第二个外部验证队列；因结节可能由多张图像描绘，所有 Thy-Wise 评估均在结节级聚合（见 2.5 节）。排除公共存档中损坏且无法解码的 25 张图像后，剩余 3,954 个结节（2,876 个良性、1,078 个恶性）和 29,070 张图像（20,680 张良性、8,390 张恶性）用于分析。</w:t>
      </w:r>
    </w:p>
    <w:p w14:paraId="2C580231">
      <w:pPr>
        <w:spacing w:after="120"/>
        <w:rPr>
          <w:rFonts w:hint="eastAsia" w:ascii="宋体" w:hAnsi="宋体" w:eastAsia="宋体" w:cs="宋体"/>
        </w:rPr>
      </w:pPr>
      <w:r>
        <w:rPr>
          <w:rFonts w:hint="eastAsia" w:ascii="宋体" w:hAnsi="宋体" w:eastAsia="宋体" w:cs="宋体"/>
        </w:rPr>
        <w:t>ThyroidXL 数据集（Duong 等，MICCAI 2025）</w:t>
      </w:r>
      <w:r>
        <w:rPr>
          <w:rFonts w:hint="eastAsia" w:ascii="宋体" w:hAnsi="宋体" w:eastAsia="宋体" w:cs="宋体"/>
        </w:rPr>
        <w:fldChar w:fldCharType="begin"/>
      </w:r>
      <w:r>
        <w:rPr>
          <w:rFonts w:hint="eastAsia" w:ascii="宋体" w:hAnsi="宋体" w:eastAsia="宋体" w:cs="宋体"/>
        </w:rPr>
        <w:instrText xml:space="preserve"> HYPERLINK \l "Ref13" \h </w:instrText>
      </w:r>
      <w:r>
        <w:rPr>
          <w:rFonts w:hint="eastAsia" w:ascii="宋体" w:hAnsi="宋体" w:eastAsia="宋体" w:cs="宋体"/>
        </w:rPr>
        <w:fldChar w:fldCharType="separate"/>
      </w:r>
      <w:r>
        <w:rPr>
          <w:rFonts w:hint="eastAsia" w:ascii="宋体" w:hAnsi="宋体" w:eastAsia="宋体" w:cs="宋体"/>
          <w:color w:val="0563C1"/>
          <w:u w:val="single"/>
        </w:rPr>
        <w:t>13</w:t>
      </w:r>
      <w:r>
        <w:rPr>
          <w:rFonts w:hint="eastAsia" w:ascii="宋体" w:hAnsi="宋体" w:eastAsia="宋体" w:cs="宋体"/>
          <w:color w:val="0563C1"/>
          <w:u w:val="single"/>
        </w:rPr>
        <w:fldChar w:fldCharType="end"/>
      </w:r>
      <w:r>
        <w:rPr>
          <w:rFonts w:hint="eastAsia" w:ascii="宋体" w:hAnsi="宋体" w:eastAsia="宋体" w:cs="宋体"/>
        </w:rPr>
        <w:t xml:space="preserve"> 含在越南国家内分泌医院用单一超声系统（Hitachi Aloka Arietta V70）采集的 4,093 个甲状腺结节的 11,635 张 B 型超声图像，以受限访问加研究许可方式发布，良/恶性标签源自细胞学与病理学检查。对本研究的融合部分至关重要的一点是，ThyroidXL 为每个结节提供了专家 ACR TI-RADS 总分（1–5）、以毫米为单位的结节尺寸、患者年龄和性别。作者将数据集分为开发（9,541 张图像，3,354 名患者）和测试（2,094 张图像，739 名患者）队列，无患者重叠。我们将 ThyroidXL 仅用于融合消融（2.2 节、3.5 节）：开发队列按患者在患者级分为训练（n = 8,615 张图像）和验证（n = 926 张图像）集，官方测试队列（739 个结节）保留用于评估。因结节可能由多张图像表示，ThyroidXL 评估通过对图像级概率取平均聚合到结节级（见 2.5 节）。</w:t>
      </w:r>
    </w:p>
    <w:p w14:paraId="65AF99D6">
      <w:pPr>
        <w:spacing w:after="120"/>
        <w:rPr>
          <w:rFonts w:hint="eastAsia" w:ascii="宋体" w:hAnsi="宋体" w:eastAsia="宋体" w:cs="宋体"/>
        </w:rPr>
      </w:pPr>
      <w:r>
        <w:rPr>
          <w:rFonts w:hint="eastAsia" w:ascii="宋体" w:hAnsi="宋体" w:eastAsia="宋体" w:cs="宋体"/>
        </w:rPr>
        <w:t>训练与测试划分在患者级无图像共享。逐字节比较（MD5）确认用于训练的 TN5000 或 TN3K 数据集中无 Thy-Wise 图像重复（独立发布的 ThyroidXL 队列未纳入此比较）。因每张 TN5000 图像对应一个独立结节样本，图像文件名被当作患者标识符用于分组划分。</w:t>
      </w:r>
    </w:p>
    <w:p w14:paraId="2A3F95BE">
      <w:pPr>
        <w:pStyle w:val="4"/>
        <w:rPr>
          <w:rFonts w:hint="eastAsia" w:ascii="宋体" w:hAnsi="宋体" w:eastAsia="宋体" w:cs="宋体"/>
        </w:rPr>
      </w:pPr>
      <w:r>
        <w:rPr>
          <w:rFonts w:hint="eastAsia" w:ascii="宋体" w:hAnsi="宋体" w:eastAsia="宋体" w:cs="宋体"/>
        </w:rPr>
        <w:t>2.2 临床特征</w:t>
      </w:r>
    </w:p>
    <w:p w14:paraId="51DF7AE8">
      <w:pPr>
        <w:spacing w:after="120"/>
        <w:rPr>
          <w:rFonts w:hint="eastAsia" w:ascii="宋体" w:hAnsi="宋体" w:eastAsia="宋体" w:cs="宋体"/>
        </w:rPr>
      </w:pPr>
      <w:r>
        <w:rPr>
          <w:rFonts w:hint="eastAsia" w:ascii="宋体" w:hAnsi="宋体" w:eastAsia="宋体" w:cs="宋体"/>
        </w:rPr>
        <w:t xml:space="preserve">五项结构化临床特征用作融合模型的临床输入。ThyroidXL 数据集为每个结节提供专家 ACR TI-RADS 总分（1–5）、采集时记录的以毫米为单位的结节宽和高、患者年龄（岁）和性别（1 = 男，2 = 女）。这五项值——TI-RADS 总分、结节宽、结节高、年龄、性别——拼接成一个五维临床向量。ACR TI-RADS 总分是一种与设备无关、按语义定义的风险分层汇总，源自成分、回声、形态、边缘和强回声灶描述符 </w:t>
      </w:r>
      <w:r>
        <w:rPr>
          <w:rFonts w:hint="eastAsia" w:ascii="宋体" w:hAnsi="宋体" w:eastAsia="宋体" w:cs="宋体"/>
        </w:rPr>
        <w:fldChar w:fldCharType="begin"/>
      </w:r>
      <w:r>
        <w:rPr>
          <w:rFonts w:hint="eastAsia" w:ascii="宋体" w:hAnsi="宋体" w:eastAsia="宋体" w:cs="宋体"/>
        </w:rPr>
        <w:instrText xml:space="preserve"> HYPERLINK \l "Ref3" \h </w:instrText>
      </w:r>
      <w:r>
        <w:rPr>
          <w:rFonts w:hint="eastAsia" w:ascii="宋体" w:hAnsi="宋体" w:eastAsia="宋体" w:cs="宋体"/>
        </w:rPr>
        <w:fldChar w:fldCharType="separate"/>
      </w:r>
      <w:r>
        <w:rPr>
          <w:rFonts w:hint="eastAsia" w:ascii="宋体" w:hAnsi="宋体" w:eastAsia="宋体" w:cs="宋体"/>
          <w:color w:val="0563C1"/>
          <w:u w:val="single"/>
        </w:rPr>
        <w:t>3</w:t>
      </w:r>
      <w:r>
        <w:rPr>
          <w:rFonts w:hint="eastAsia" w:ascii="宋体" w:hAnsi="宋体" w:eastAsia="宋体" w:cs="宋体"/>
          <w:color w:val="0563C1"/>
          <w:u w:val="single"/>
        </w:rPr>
        <w:fldChar w:fldCharType="end"/>
      </w:r>
      <w:r>
        <w:rPr>
          <w:rFonts w:hint="eastAsia" w:ascii="宋体" w:hAnsi="宋体" w:eastAsia="宋体" w:cs="宋体"/>
        </w:rPr>
        <w:t>，因此预期受采集变异的影响小于原始像素统计。与图像模态不同，这些特征在推理时无需结节分割或手动病灶裁剪。缺失的临床值编码为零，ThyroidXL 中无结节缺少这五项特征。</w:t>
      </w:r>
    </w:p>
    <w:p w14:paraId="5C9ED027">
      <w:pPr>
        <w:pStyle w:val="4"/>
        <w:rPr>
          <w:rFonts w:hint="eastAsia" w:ascii="宋体" w:hAnsi="宋体" w:eastAsia="宋体" w:cs="宋体"/>
        </w:rPr>
      </w:pPr>
      <w:r>
        <w:rPr>
          <w:rFonts w:hint="eastAsia" w:ascii="宋体" w:hAnsi="宋体" w:eastAsia="宋体" w:cs="宋体"/>
        </w:rPr>
        <w:t>2.3 模型架构</w:t>
      </w:r>
    </w:p>
    <w:p w14:paraId="75CCA55B">
      <w:pPr>
        <w:spacing w:after="120"/>
        <w:rPr>
          <w:rFonts w:hint="eastAsia" w:ascii="宋体" w:hAnsi="宋体" w:eastAsia="宋体" w:cs="宋体"/>
        </w:rPr>
      </w:pPr>
      <w:r>
        <w:rPr>
          <w:rFonts w:hint="eastAsia" w:ascii="宋体" w:hAnsi="宋体" w:eastAsia="宋体" w:cs="宋体"/>
        </w:rPr>
        <w:t>多模态分类器由三部分组成。图像编码器为在 ImageNet 上预训练的 EfficientNetV2-S 主干，其最终分类层替换为生成 512 维嵌入的投影头。选择 EfficientNetV2-S 作为图像编码器，是因为其复合缩放设计提供了良好的准确率/效率权衡，适合可用的 6 GB GPU 显存，且已广泛用于医学图像分类（包括甲状腺超声）</w:t>
      </w:r>
      <w:r>
        <w:rPr>
          <w:rFonts w:hint="eastAsia" w:ascii="宋体" w:hAnsi="宋体" w:eastAsia="宋体" w:cs="宋体"/>
        </w:rPr>
        <w:fldChar w:fldCharType="begin"/>
      </w:r>
      <w:r>
        <w:rPr>
          <w:rFonts w:hint="eastAsia" w:ascii="宋体" w:hAnsi="宋体" w:eastAsia="宋体" w:cs="宋体"/>
        </w:rPr>
        <w:instrText xml:space="preserve"> HYPERLINK \l "Ref8" \h </w:instrText>
      </w:r>
      <w:r>
        <w:rPr>
          <w:rFonts w:hint="eastAsia" w:ascii="宋体" w:hAnsi="宋体" w:eastAsia="宋体" w:cs="宋体"/>
        </w:rPr>
        <w:fldChar w:fldCharType="separate"/>
      </w:r>
      <w:r>
        <w:rPr>
          <w:rFonts w:hint="eastAsia" w:ascii="宋体" w:hAnsi="宋体" w:eastAsia="宋体" w:cs="宋体"/>
          <w:color w:val="0563C1"/>
          <w:u w:val="single"/>
        </w:rPr>
        <w:t>8</w:t>
      </w:r>
      <w:r>
        <w:rPr>
          <w:rFonts w:hint="eastAsia" w:ascii="宋体" w:hAnsi="宋体" w:eastAsia="宋体" w:cs="宋体"/>
          <w:color w:val="0563C1"/>
          <w:u w:val="single"/>
        </w:rPr>
        <w:fldChar w:fldCharType="end"/>
      </w:r>
      <w:r>
        <w:rPr>
          <w:rFonts w:hint="eastAsia" w:ascii="宋体" w:hAnsi="宋体" w:eastAsia="宋体" w:cs="宋体"/>
        </w:rPr>
        <w:t>；我们未进行架构搜索，其他主干可能有不同表现（见第 4 节"局限性"）。临床编码器为多层感知机，将五维临床向量（TI-RADS 总分、结节宽、结节高、年龄、性别）映射为 64 维嵌入。两个嵌入拼接后送入隐藏维数为 256 和 128、dropout 为 0.3 的预测头，产生恶性概率。比较了三种消融配置：纯图像（临床分支禁用）、纯临床（图像分支禁用）和融合（两个分支均启用）。</w:t>
      </w:r>
    </w:p>
    <w:p w14:paraId="5CB9BD5A">
      <w:pPr>
        <w:pStyle w:val="4"/>
        <w:rPr>
          <w:rFonts w:hint="eastAsia" w:ascii="宋体" w:hAnsi="宋体" w:eastAsia="宋体" w:cs="宋体"/>
        </w:rPr>
      </w:pPr>
      <w:r>
        <w:rPr>
          <w:rFonts w:hint="eastAsia" w:ascii="宋体" w:hAnsi="宋体" w:eastAsia="宋体" w:cs="宋体"/>
        </w:rPr>
        <w:t>2.4 训练</w:t>
      </w:r>
    </w:p>
    <w:p w14:paraId="39B490E7">
      <w:pPr>
        <w:spacing w:after="120"/>
        <w:rPr>
          <w:rFonts w:hint="eastAsia" w:ascii="宋体" w:hAnsi="宋体" w:eastAsia="宋体" w:cs="宋体"/>
        </w:rPr>
      </w:pPr>
      <w:r>
        <w:rPr>
          <w:rFonts w:hint="eastAsia" w:ascii="宋体" w:hAnsi="宋体" w:eastAsia="宋体" w:cs="宋体"/>
        </w:rPr>
        <w:t>图像缩放到 224×224 像素。训练使用随机 ShiftScaleRotate 和翻转增强；验证仅使用缩放。模型采用 AdamW 优化（初始学习率 1e-4，主干 1e-5，权重衰减 1e-4），配合余弦退火调度。训练 30 个 epoch，批量大小为 64（纯图像和联合训练实验）或 32（融合消融，受双分支模型 GPU 显存限制），使用 NVIDIA RTX 3060（6 GB）自动混合精度。最优模型按验证 AUC 选取。所有划分使用固定随机种子（42）。域漂移和联合训练实验报告单次训练结果；融合消融额外训练两个独立运行（种子 123、2024），测试预测在三个模型（种子 42、123、2024）间取平均以评估对训练种子变化的稳健性（见 3.5 节）。所有实验使用 Python 3.11、PyTorch 2.5.1（CUDA 12.1）、torchvision 0.20.1 和 albumentations 1.4.x。</w:t>
      </w:r>
    </w:p>
    <w:p w14:paraId="5493511D">
      <w:pPr>
        <w:pStyle w:val="4"/>
        <w:rPr>
          <w:rFonts w:hint="eastAsia" w:ascii="宋体" w:hAnsi="宋体" w:eastAsia="宋体" w:cs="宋体"/>
        </w:rPr>
      </w:pPr>
      <w:r>
        <w:rPr>
          <w:rFonts w:hint="eastAsia" w:ascii="宋体" w:hAnsi="宋体" w:eastAsia="宋体" w:cs="宋体"/>
        </w:rPr>
        <w:t>2.5 评估与统计分析</w:t>
      </w:r>
    </w:p>
    <w:p w14:paraId="42F55ACD">
      <w:pPr>
        <w:spacing w:after="120"/>
        <w:rPr>
          <w:rFonts w:hint="eastAsia" w:ascii="宋体" w:hAnsi="宋体" w:eastAsia="宋体" w:cs="宋体"/>
        </w:rPr>
      </w:pPr>
      <w:r>
        <w:rPr>
          <w:rFonts w:hint="eastAsia" w:ascii="宋体" w:hAnsi="宋体" w:eastAsia="宋体" w:cs="宋体"/>
        </w:rPr>
        <w:t>所有预测评分所依据的参考标准是每张图像附带的良/恶性标签：TN5000 为活检确认的病理标签，TN3K 为已发表的真实标签，Thy-Wise 为病理诊断，ThyroidXL 为细胞学或病理诊断。因 Thy-Wise 或 ThyroidXL 结节可能由多张图像描绘，在计算指标前先将图像级预测按平均聚合到结节级（图像级统计单独报告，见补充表 S1）。</w:t>
      </w:r>
    </w:p>
    <w:p w14:paraId="05C79D7A">
      <w:pPr>
        <w:spacing w:after="120"/>
        <w:rPr>
          <w:rFonts w:hint="eastAsia" w:ascii="宋体" w:hAnsi="宋体" w:eastAsia="宋体" w:cs="宋体"/>
        </w:rPr>
      </w:pPr>
      <w:r>
        <w:rPr>
          <w:rFonts w:hint="eastAsia" w:ascii="宋体" w:hAnsi="宋体" w:eastAsia="宋体" w:cs="宋体"/>
        </w:rPr>
        <w:t xml:space="preserve">判别力通过 AUC 量化，95% 置信区间由自助法重抽样获得（n = 2,000 个样本）。灵敏度、特异度和准确率在统一应用于内部和外部测试集的固定 0.5 决策阈值下报告。校准通过期望校准误差（ECE，10 个分箱）量化。临床效用通过决策曲线分析（DCA）评估，报告各阈值概率下的净收益。报告遵循 STARD 2015 </w:t>
      </w:r>
      <w:r>
        <w:rPr>
          <w:rFonts w:hint="eastAsia" w:ascii="宋体" w:hAnsi="宋体" w:eastAsia="宋体" w:cs="宋体"/>
        </w:rPr>
        <w:fldChar w:fldCharType="begin"/>
      </w:r>
      <w:r>
        <w:rPr>
          <w:rFonts w:hint="eastAsia" w:ascii="宋体" w:hAnsi="宋体" w:eastAsia="宋体" w:cs="宋体"/>
        </w:rPr>
        <w:instrText xml:space="preserve"> HYPERLINK \l "Ref15" \h </w:instrText>
      </w:r>
      <w:r>
        <w:rPr>
          <w:rFonts w:hint="eastAsia" w:ascii="宋体" w:hAnsi="宋体" w:eastAsia="宋体" w:cs="宋体"/>
        </w:rPr>
        <w:fldChar w:fldCharType="separate"/>
      </w:r>
      <w:r>
        <w:rPr>
          <w:rFonts w:hint="eastAsia" w:ascii="宋体" w:hAnsi="宋体" w:eastAsia="宋体" w:cs="宋体"/>
          <w:color w:val="0563C1"/>
          <w:u w:val="single"/>
        </w:rPr>
        <w:t>15</w:t>
      </w:r>
      <w:r>
        <w:rPr>
          <w:rFonts w:hint="eastAsia" w:ascii="宋体" w:hAnsi="宋体" w:eastAsia="宋体" w:cs="宋体"/>
          <w:color w:val="0563C1"/>
          <w:u w:val="single"/>
        </w:rPr>
        <w:fldChar w:fldCharType="end"/>
      </w:r>
      <w:r>
        <w:rPr>
          <w:rFonts w:hint="eastAsia" w:ascii="宋体" w:hAnsi="宋体" w:eastAsia="宋体" w:cs="宋体"/>
        </w:rPr>
        <w:t xml:space="preserve"> 和 TRIPOD+AI </w:t>
      </w:r>
      <w:r>
        <w:rPr>
          <w:rFonts w:hint="eastAsia" w:ascii="宋体" w:hAnsi="宋体" w:eastAsia="宋体" w:cs="宋体"/>
        </w:rPr>
        <w:fldChar w:fldCharType="begin"/>
      </w:r>
      <w:r>
        <w:rPr>
          <w:rFonts w:hint="eastAsia" w:ascii="宋体" w:hAnsi="宋体" w:eastAsia="宋体" w:cs="宋体"/>
        </w:rPr>
        <w:instrText xml:space="preserve"> HYPERLINK \l "Ref16" \h </w:instrText>
      </w:r>
      <w:r>
        <w:rPr>
          <w:rFonts w:hint="eastAsia" w:ascii="宋体" w:hAnsi="宋体" w:eastAsia="宋体" w:cs="宋体"/>
        </w:rPr>
        <w:fldChar w:fldCharType="separate"/>
      </w:r>
      <w:r>
        <w:rPr>
          <w:rFonts w:hint="eastAsia" w:ascii="宋体" w:hAnsi="宋体" w:eastAsia="宋体" w:cs="宋体"/>
          <w:color w:val="0563C1"/>
          <w:u w:val="single"/>
        </w:rPr>
        <w:t>16</w:t>
      </w:r>
      <w:r>
        <w:rPr>
          <w:rFonts w:hint="eastAsia" w:ascii="宋体" w:hAnsi="宋体" w:eastAsia="宋体" w:cs="宋体"/>
          <w:color w:val="0563C1"/>
          <w:u w:val="single"/>
        </w:rPr>
        <w:fldChar w:fldCharType="end"/>
      </w:r>
      <w:r>
        <w:rPr>
          <w:rFonts w:hint="eastAsia" w:ascii="宋体" w:hAnsi="宋体" w:eastAsia="宋体" w:cs="宋体"/>
        </w:rPr>
        <w:t xml:space="preserve"> 清单。</w:t>
      </w:r>
    </w:p>
    <w:p w14:paraId="7C2F059F">
      <w:pPr>
        <w:pStyle w:val="3"/>
        <w:rPr>
          <w:rFonts w:hint="eastAsia" w:ascii="宋体" w:hAnsi="宋体" w:eastAsia="宋体" w:cs="宋体"/>
        </w:rPr>
      </w:pPr>
      <w:r>
        <w:rPr>
          <w:rFonts w:hint="eastAsia" w:ascii="宋体" w:hAnsi="宋体" w:eastAsia="宋体" w:cs="宋体"/>
        </w:rPr>
        <w:t>3. 结果</w:t>
      </w:r>
    </w:p>
    <w:p w14:paraId="17E6708C">
      <w:pPr>
        <w:pStyle w:val="4"/>
        <w:rPr>
          <w:rFonts w:hint="eastAsia" w:ascii="宋体" w:hAnsi="宋体" w:eastAsia="宋体" w:cs="宋体"/>
        </w:rPr>
      </w:pPr>
      <w:r>
        <w:rPr>
          <w:rFonts w:hint="eastAsia" w:ascii="宋体" w:hAnsi="宋体" w:eastAsia="宋体" w:cs="宋体"/>
        </w:rPr>
        <w:t>3.1 数据集特征</w:t>
      </w:r>
    </w:p>
    <w:p w14:paraId="13F0856C">
      <w:pPr>
        <w:spacing w:after="120"/>
        <w:rPr>
          <w:rFonts w:hint="eastAsia" w:ascii="宋体" w:hAnsi="宋体" w:eastAsia="宋体" w:cs="宋体"/>
        </w:rPr>
      </w:pPr>
      <w:r>
        <w:rPr>
          <w:rFonts w:hint="eastAsia" w:ascii="宋体" w:hAnsi="宋体" w:eastAsia="宋体" w:cs="宋体"/>
          <w:b/>
        </w:rPr>
        <w:t>表 1.</w:t>
      </w:r>
      <w:r>
        <w:rPr>
          <w:rFonts w:hint="eastAsia" w:ascii="宋体" w:hAnsi="宋体" w:eastAsia="宋体" w:cs="宋体"/>
        </w:rPr>
        <w:t xml:space="preserve"> 本研究所用四个甲状腺超声数据集概况。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58A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64F46F7">
            <w:pPr>
              <w:spacing w:after="0" w:line="240" w:lineRule="auto"/>
              <w:rPr>
                <w:rFonts w:hint="eastAsia" w:ascii="宋体" w:hAnsi="宋体" w:eastAsia="宋体" w:cs="宋体"/>
              </w:rPr>
            </w:pPr>
            <w:r>
              <w:rPr>
                <w:rFonts w:hint="eastAsia" w:ascii="宋体" w:hAnsi="宋体" w:eastAsia="宋体" w:cs="宋体"/>
                <w:b/>
                <w:sz w:val="18"/>
              </w:rPr>
              <w:t>特征</w:t>
            </w:r>
          </w:p>
        </w:tc>
        <w:tc>
          <w:tcPr>
            <w:tcW w:w="1728" w:type="dxa"/>
          </w:tcPr>
          <w:p w14:paraId="6E83201D">
            <w:pPr>
              <w:spacing w:after="0" w:line="240" w:lineRule="auto"/>
              <w:rPr>
                <w:rFonts w:hint="eastAsia" w:ascii="宋体" w:hAnsi="宋体" w:eastAsia="宋体" w:cs="宋体"/>
              </w:rPr>
            </w:pPr>
            <w:r>
              <w:rPr>
                <w:rFonts w:hint="eastAsia" w:ascii="宋体" w:hAnsi="宋体" w:eastAsia="宋体" w:cs="宋体"/>
                <w:b/>
                <w:sz w:val="18"/>
              </w:rPr>
              <w:t>TN5000</w:t>
            </w:r>
          </w:p>
        </w:tc>
        <w:tc>
          <w:tcPr>
            <w:tcW w:w="1728" w:type="dxa"/>
          </w:tcPr>
          <w:p w14:paraId="51817CD9">
            <w:pPr>
              <w:spacing w:after="0" w:line="240" w:lineRule="auto"/>
              <w:rPr>
                <w:rFonts w:hint="eastAsia" w:ascii="宋体" w:hAnsi="宋体" w:eastAsia="宋体" w:cs="宋体"/>
              </w:rPr>
            </w:pPr>
            <w:r>
              <w:rPr>
                <w:rFonts w:hint="eastAsia" w:ascii="宋体" w:hAnsi="宋体" w:eastAsia="宋体" w:cs="宋体"/>
                <w:b/>
                <w:sz w:val="18"/>
              </w:rPr>
              <w:t>TN3K</w:t>
            </w:r>
          </w:p>
        </w:tc>
        <w:tc>
          <w:tcPr>
            <w:tcW w:w="1728" w:type="dxa"/>
          </w:tcPr>
          <w:p w14:paraId="0DB22648">
            <w:pPr>
              <w:spacing w:after="0" w:line="240" w:lineRule="auto"/>
              <w:rPr>
                <w:rFonts w:hint="eastAsia" w:ascii="宋体" w:hAnsi="宋体" w:eastAsia="宋体" w:cs="宋体"/>
              </w:rPr>
            </w:pPr>
            <w:r>
              <w:rPr>
                <w:rFonts w:hint="eastAsia" w:ascii="宋体" w:hAnsi="宋体" w:eastAsia="宋体" w:cs="宋体"/>
                <w:b/>
                <w:sz w:val="18"/>
              </w:rPr>
              <w:t>Thy-Wise</w:t>
            </w:r>
          </w:p>
        </w:tc>
        <w:tc>
          <w:tcPr>
            <w:tcW w:w="1728" w:type="dxa"/>
          </w:tcPr>
          <w:p w14:paraId="7F81AB5F">
            <w:pPr>
              <w:spacing w:after="0" w:line="240" w:lineRule="auto"/>
              <w:rPr>
                <w:rFonts w:hint="eastAsia" w:ascii="宋体" w:hAnsi="宋体" w:eastAsia="宋体" w:cs="宋体"/>
              </w:rPr>
            </w:pPr>
            <w:r>
              <w:rPr>
                <w:rFonts w:hint="eastAsia" w:ascii="宋体" w:hAnsi="宋体" w:eastAsia="宋体" w:cs="宋体"/>
                <w:b/>
                <w:sz w:val="18"/>
              </w:rPr>
              <w:t>ThyroidXL</w:t>
            </w:r>
          </w:p>
        </w:tc>
      </w:tr>
      <w:tr w14:paraId="78D5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8969C05">
            <w:pPr>
              <w:spacing w:after="0" w:line="240" w:lineRule="auto"/>
              <w:rPr>
                <w:rFonts w:hint="eastAsia" w:ascii="宋体" w:hAnsi="宋体" w:eastAsia="宋体" w:cs="宋体"/>
              </w:rPr>
            </w:pPr>
            <w:r>
              <w:rPr>
                <w:rFonts w:hint="eastAsia" w:ascii="宋体" w:hAnsi="宋体" w:eastAsia="宋体" w:cs="宋体"/>
                <w:b w:val="0"/>
                <w:sz w:val="18"/>
              </w:rPr>
              <w:t>图像总数</w:t>
            </w:r>
          </w:p>
        </w:tc>
        <w:tc>
          <w:tcPr>
            <w:tcW w:w="1728" w:type="dxa"/>
          </w:tcPr>
          <w:p w14:paraId="231F3C6D">
            <w:pPr>
              <w:spacing w:after="0" w:line="240" w:lineRule="auto"/>
              <w:rPr>
                <w:rFonts w:hint="eastAsia" w:ascii="宋体" w:hAnsi="宋体" w:eastAsia="宋体" w:cs="宋体"/>
              </w:rPr>
            </w:pPr>
            <w:r>
              <w:rPr>
                <w:rFonts w:hint="eastAsia" w:ascii="宋体" w:hAnsi="宋体" w:eastAsia="宋体" w:cs="宋体"/>
                <w:b w:val="0"/>
                <w:sz w:val="18"/>
              </w:rPr>
              <w:t>5,000</w:t>
            </w:r>
          </w:p>
        </w:tc>
        <w:tc>
          <w:tcPr>
            <w:tcW w:w="1728" w:type="dxa"/>
          </w:tcPr>
          <w:p w14:paraId="0627D7E9">
            <w:pPr>
              <w:spacing w:after="0" w:line="240" w:lineRule="auto"/>
              <w:rPr>
                <w:rFonts w:hint="eastAsia" w:ascii="宋体" w:hAnsi="宋体" w:eastAsia="宋体" w:cs="宋体"/>
              </w:rPr>
            </w:pPr>
            <w:r>
              <w:rPr>
                <w:rFonts w:hint="eastAsia" w:ascii="宋体" w:hAnsi="宋体" w:eastAsia="宋体" w:cs="宋体"/>
                <w:b w:val="0"/>
                <w:sz w:val="18"/>
              </w:rPr>
              <w:t>3,493</w:t>
            </w:r>
          </w:p>
        </w:tc>
        <w:tc>
          <w:tcPr>
            <w:tcW w:w="1728" w:type="dxa"/>
          </w:tcPr>
          <w:p w14:paraId="010E5315">
            <w:pPr>
              <w:spacing w:after="0" w:line="240" w:lineRule="auto"/>
              <w:rPr>
                <w:rFonts w:hint="eastAsia" w:ascii="宋体" w:hAnsi="宋体" w:eastAsia="宋体" w:cs="宋体"/>
              </w:rPr>
            </w:pPr>
            <w:r>
              <w:rPr>
                <w:rFonts w:hint="eastAsia" w:ascii="宋体" w:hAnsi="宋体" w:eastAsia="宋体" w:cs="宋体"/>
                <w:b w:val="0"/>
                <w:sz w:val="18"/>
              </w:rPr>
              <w:t>29,070</w:t>
            </w:r>
          </w:p>
        </w:tc>
        <w:tc>
          <w:tcPr>
            <w:tcW w:w="1728" w:type="dxa"/>
          </w:tcPr>
          <w:p w14:paraId="1F679E62">
            <w:pPr>
              <w:spacing w:after="0" w:line="240" w:lineRule="auto"/>
              <w:rPr>
                <w:rFonts w:hint="eastAsia" w:ascii="宋体" w:hAnsi="宋体" w:eastAsia="宋体" w:cs="宋体"/>
              </w:rPr>
            </w:pPr>
            <w:r>
              <w:rPr>
                <w:rFonts w:hint="eastAsia" w:ascii="宋体" w:hAnsi="宋体" w:eastAsia="宋体" w:cs="宋体"/>
                <w:b w:val="0"/>
                <w:sz w:val="18"/>
              </w:rPr>
              <w:t>11,635</w:t>
            </w:r>
          </w:p>
        </w:tc>
      </w:tr>
      <w:tr w14:paraId="5CB33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CA04A9B">
            <w:pPr>
              <w:spacing w:after="0" w:line="240" w:lineRule="auto"/>
              <w:rPr>
                <w:rFonts w:hint="eastAsia" w:ascii="宋体" w:hAnsi="宋体" w:eastAsia="宋体" w:cs="宋体"/>
              </w:rPr>
            </w:pPr>
            <w:r>
              <w:rPr>
                <w:rFonts w:hint="eastAsia" w:ascii="宋体" w:hAnsi="宋体" w:eastAsia="宋体" w:cs="宋体"/>
                <w:b w:val="0"/>
                <w:sz w:val="18"/>
              </w:rPr>
              <w:t>患者 / 结节</w:t>
            </w:r>
          </w:p>
        </w:tc>
        <w:tc>
          <w:tcPr>
            <w:tcW w:w="1728" w:type="dxa"/>
          </w:tcPr>
          <w:p w14:paraId="739D206E">
            <w:pPr>
              <w:spacing w:after="0" w:line="240" w:lineRule="auto"/>
              <w:rPr>
                <w:rFonts w:hint="eastAsia" w:ascii="宋体" w:hAnsi="宋体" w:eastAsia="宋体" w:cs="宋体"/>
              </w:rPr>
            </w:pPr>
            <w:r>
              <w:rPr>
                <w:rFonts w:hint="eastAsia" w:ascii="宋体" w:hAnsi="宋体" w:eastAsia="宋体" w:cs="宋体"/>
                <w:b w:val="0"/>
                <w:sz w:val="18"/>
              </w:rPr>
              <w:t>5,000</w:t>
            </w:r>
            <w:r>
              <w:rPr>
                <w:rFonts w:hint="eastAsia" w:ascii="宋体" w:hAnsi="宋体" w:eastAsia="宋体" w:cs="宋体"/>
                <w:sz w:val="18"/>
                <w:vertAlign w:val="superscript"/>
              </w:rPr>
              <w:t>a</w:t>
            </w:r>
          </w:p>
        </w:tc>
        <w:tc>
          <w:tcPr>
            <w:tcW w:w="1728" w:type="dxa"/>
          </w:tcPr>
          <w:p w14:paraId="652E6551">
            <w:pPr>
              <w:spacing w:after="0" w:line="240" w:lineRule="auto"/>
              <w:rPr>
                <w:rFonts w:hint="eastAsia" w:ascii="宋体" w:hAnsi="宋体" w:eastAsia="宋体" w:cs="宋体"/>
              </w:rPr>
            </w:pPr>
            <w:r>
              <w:rPr>
                <w:rFonts w:hint="eastAsia" w:ascii="宋体" w:hAnsi="宋体" w:eastAsia="宋体" w:cs="宋体"/>
                <w:b w:val="0"/>
                <w:sz w:val="18"/>
              </w:rPr>
              <w:t>2,421</w:t>
            </w:r>
          </w:p>
        </w:tc>
        <w:tc>
          <w:tcPr>
            <w:tcW w:w="1728" w:type="dxa"/>
          </w:tcPr>
          <w:p w14:paraId="797AA704">
            <w:pPr>
              <w:spacing w:after="0" w:line="240" w:lineRule="auto"/>
              <w:rPr>
                <w:rFonts w:hint="eastAsia" w:ascii="宋体" w:hAnsi="宋体" w:eastAsia="宋体" w:cs="宋体"/>
              </w:rPr>
            </w:pPr>
            <w:r>
              <w:rPr>
                <w:rFonts w:hint="eastAsia" w:ascii="宋体" w:hAnsi="宋体" w:eastAsia="宋体" w:cs="宋体"/>
                <w:b w:val="0"/>
                <w:sz w:val="18"/>
              </w:rPr>
              <w:t>3,954</w:t>
            </w:r>
          </w:p>
        </w:tc>
        <w:tc>
          <w:tcPr>
            <w:tcW w:w="1728" w:type="dxa"/>
          </w:tcPr>
          <w:p w14:paraId="10B211A0">
            <w:pPr>
              <w:spacing w:after="0" w:line="240" w:lineRule="auto"/>
              <w:rPr>
                <w:rFonts w:hint="eastAsia" w:ascii="宋体" w:hAnsi="宋体" w:eastAsia="宋体" w:cs="宋体"/>
              </w:rPr>
            </w:pPr>
            <w:r>
              <w:rPr>
                <w:rFonts w:hint="eastAsia" w:ascii="宋体" w:hAnsi="宋体" w:eastAsia="宋体" w:cs="宋体"/>
                <w:b w:val="0"/>
                <w:sz w:val="18"/>
              </w:rPr>
              <w:t>4,093</w:t>
            </w:r>
          </w:p>
        </w:tc>
      </w:tr>
      <w:tr w14:paraId="3BBE7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8874093">
            <w:pPr>
              <w:spacing w:after="0" w:line="240" w:lineRule="auto"/>
              <w:rPr>
                <w:rFonts w:hint="eastAsia" w:ascii="宋体" w:hAnsi="宋体" w:eastAsia="宋体" w:cs="宋体"/>
              </w:rPr>
            </w:pPr>
            <w:r>
              <w:rPr>
                <w:rFonts w:hint="eastAsia" w:ascii="宋体" w:hAnsi="宋体" w:eastAsia="宋体" w:cs="宋体"/>
                <w:b w:val="0"/>
                <w:sz w:val="18"/>
              </w:rPr>
              <w:t>良性</w:t>
            </w:r>
          </w:p>
        </w:tc>
        <w:tc>
          <w:tcPr>
            <w:tcW w:w="1728" w:type="dxa"/>
          </w:tcPr>
          <w:p w14:paraId="4A71F122">
            <w:pPr>
              <w:spacing w:after="0" w:line="240" w:lineRule="auto"/>
              <w:rPr>
                <w:rFonts w:hint="eastAsia" w:ascii="宋体" w:hAnsi="宋体" w:eastAsia="宋体" w:cs="宋体"/>
              </w:rPr>
            </w:pPr>
            <w:r>
              <w:rPr>
                <w:rFonts w:hint="eastAsia" w:ascii="宋体" w:hAnsi="宋体" w:eastAsia="宋体" w:cs="宋体"/>
                <w:b w:val="0"/>
                <w:sz w:val="18"/>
              </w:rPr>
              <w:t>1,426（28.5%）</w:t>
            </w:r>
          </w:p>
        </w:tc>
        <w:tc>
          <w:tcPr>
            <w:tcW w:w="1728" w:type="dxa"/>
          </w:tcPr>
          <w:p w14:paraId="465E4C01">
            <w:pPr>
              <w:spacing w:after="0" w:line="240" w:lineRule="auto"/>
              <w:rPr>
                <w:rFonts w:hint="eastAsia" w:ascii="宋体" w:hAnsi="宋体" w:eastAsia="宋体" w:cs="宋体"/>
              </w:rPr>
            </w:pPr>
            <w:r>
              <w:rPr>
                <w:rFonts w:hint="eastAsia" w:ascii="宋体" w:hAnsi="宋体" w:eastAsia="宋体" w:cs="宋体"/>
                <w:b w:val="0"/>
                <w:sz w:val="18"/>
              </w:rPr>
              <w:t>2,283（65.4%）</w:t>
            </w:r>
          </w:p>
        </w:tc>
        <w:tc>
          <w:tcPr>
            <w:tcW w:w="1728" w:type="dxa"/>
          </w:tcPr>
          <w:p w14:paraId="0BDCE295">
            <w:pPr>
              <w:spacing w:after="0" w:line="240" w:lineRule="auto"/>
              <w:rPr>
                <w:rFonts w:hint="eastAsia" w:ascii="宋体" w:hAnsi="宋体" w:eastAsia="宋体" w:cs="宋体"/>
              </w:rPr>
            </w:pPr>
            <w:r>
              <w:rPr>
                <w:rFonts w:hint="eastAsia" w:ascii="宋体" w:hAnsi="宋体" w:eastAsia="宋体" w:cs="宋体"/>
                <w:b w:val="0"/>
                <w:sz w:val="18"/>
              </w:rPr>
              <w:t>20,680 张 / 2,876 个结节（72.7%）</w:t>
            </w:r>
          </w:p>
        </w:tc>
        <w:tc>
          <w:tcPr>
            <w:tcW w:w="1728" w:type="dxa"/>
          </w:tcPr>
          <w:p w14:paraId="7B3F1029">
            <w:pPr>
              <w:spacing w:after="0" w:line="240" w:lineRule="auto"/>
              <w:rPr>
                <w:rFonts w:hint="eastAsia" w:ascii="宋体" w:hAnsi="宋体" w:eastAsia="宋体" w:cs="宋体"/>
              </w:rPr>
            </w:pPr>
            <w:r>
              <w:rPr>
                <w:rFonts w:hint="eastAsia" w:ascii="宋体" w:hAnsi="宋体" w:eastAsia="宋体" w:cs="宋体"/>
                <w:b w:val="0"/>
                <w:sz w:val="18"/>
              </w:rPr>
              <w:t>7,052 张（开发集 73.9%）</w:t>
            </w:r>
          </w:p>
        </w:tc>
      </w:tr>
      <w:tr w14:paraId="1E61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8071C9C">
            <w:pPr>
              <w:spacing w:after="0" w:line="240" w:lineRule="auto"/>
              <w:rPr>
                <w:rFonts w:hint="eastAsia" w:ascii="宋体" w:hAnsi="宋体" w:eastAsia="宋体" w:cs="宋体"/>
              </w:rPr>
            </w:pPr>
            <w:r>
              <w:rPr>
                <w:rFonts w:hint="eastAsia" w:ascii="宋体" w:hAnsi="宋体" w:eastAsia="宋体" w:cs="宋体"/>
                <w:b w:val="0"/>
                <w:sz w:val="18"/>
              </w:rPr>
              <w:t>恶性</w:t>
            </w:r>
          </w:p>
        </w:tc>
        <w:tc>
          <w:tcPr>
            <w:tcW w:w="1728" w:type="dxa"/>
          </w:tcPr>
          <w:p w14:paraId="2C673586">
            <w:pPr>
              <w:spacing w:after="0" w:line="240" w:lineRule="auto"/>
              <w:rPr>
                <w:rFonts w:hint="eastAsia" w:ascii="宋体" w:hAnsi="宋体" w:eastAsia="宋体" w:cs="宋体"/>
              </w:rPr>
            </w:pPr>
            <w:r>
              <w:rPr>
                <w:rFonts w:hint="eastAsia" w:ascii="宋体" w:hAnsi="宋体" w:eastAsia="宋体" w:cs="宋体"/>
                <w:b w:val="0"/>
                <w:sz w:val="18"/>
              </w:rPr>
              <w:t>3,574（71.5%）</w:t>
            </w:r>
          </w:p>
        </w:tc>
        <w:tc>
          <w:tcPr>
            <w:tcW w:w="1728" w:type="dxa"/>
          </w:tcPr>
          <w:p w14:paraId="52E521E4">
            <w:pPr>
              <w:spacing w:after="0" w:line="240" w:lineRule="auto"/>
              <w:rPr>
                <w:rFonts w:hint="eastAsia" w:ascii="宋体" w:hAnsi="宋体" w:eastAsia="宋体" w:cs="宋体"/>
              </w:rPr>
            </w:pPr>
            <w:r>
              <w:rPr>
                <w:rFonts w:hint="eastAsia" w:ascii="宋体" w:hAnsi="宋体" w:eastAsia="宋体" w:cs="宋体"/>
                <w:b w:val="0"/>
                <w:sz w:val="18"/>
              </w:rPr>
              <w:t>1,210（34.6%）</w:t>
            </w:r>
          </w:p>
        </w:tc>
        <w:tc>
          <w:tcPr>
            <w:tcW w:w="1728" w:type="dxa"/>
          </w:tcPr>
          <w:p w14:paraId="1DB21423">
            <w:pPr>
              <w:spacing w:after="0" w:line="240" w:lineRule="auto"/>
              <w:rPr>
                <w:rFonts w:hint="eastAsia" w:ascii="宋体" w:hAnsi="宋体" w:eastAsia="宋体" w:cs="宋体"/>
              </w:rPr>
            </w:pPr>
            <w:r>
              <w:rPr>
                <w:rFonts w:hint="eastAsia" w:ascii="宋体" w:hAnsi="宋体" w:eastAsia="宋体" w:cs="宋体"/>
                <w:b w:val="0"/>
                <w:sz w:val="18"/>
              </w:rPr>
              <w:t>8,390 张 / 1,078 个结节（27.3%）</w:t>
            </w:r>
          </w:p>
        </w:tc>
        <w:tc>
          <w:tcPr>
            <w:tcW w:w="1728" w:type="dxa"/>
          </w:tcPr>
          <w:p w14:paraId="396A53E8">
            <w:pPr>
              <w:spacing w:after="0" w:line="240" w:lineRule="auto"/>
              <w:rPr>
                <w:rFonts w:hint="eastAsia" w:ascii="宋体" w:hAnsi="宋体" w:eastAsia="宋体" w:cs="宋体"/>
              </w:rPr>
            </w:pPr>
            <w:r>
              <w:rPr>
                <w:rFonts w:hint="eastAsia" w:ascii="宋体" w:hAnsi="宋体" w:eastAsia="宋体" w:cs="宋体"/>
                <w:b w:val="0"/>
                <w:sz w:val="18"/>
              </w:rPr>
              <w:t>2,489 张（开发集 26.1%）</w:t>
            </w:r>
          </w:p>
        </w:tc>
      </w:tr>
      <w:tr w14:paraId="0B60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E47399C">
            <w:pPr>
              <w:spacing w:after="0" w:line="240" w:lineRule="auto"/>
              <w:rPr>
                <w:rFonts w:hint="eastAsia" w:ascii="宋体" w:hAnsi="宋体" w:eastAsia="宋体" w:cs="宋体"/>
              </w:rPr>
            </w:pPr>
            <w:r>
              <w:rPr>
                <w:rFonts w:hint="eastAsia" w:ascii="宋体" w:hAnsi="宋体" w:eastAsia="宋体" w:cs="宋体"/>
                <w:b w:val="0"/>
                <w:sz w:val="18"/>
              </w:rPr>
              <w:t>训练 / 验证 / 测试</w:t>
            </w:r>
          </w:p>
        </w:tc>
        <w:tc>
          <w:tcPr>
            <w:tcW w:w="1728" w:type="dxa"/>
          </w:tcPr>
          <w:p w14:paraId="689443E6">
            <w:pPr>
              <w:spacing w:after="0" w:line="240" w:lineRule="auto"/>
              <w:rPr>
                <w:rFonts w:hint="eastAsia" w:ascii="宋体" w:hAnsi="宋体" w:eastAsia="宋体" w:cs="宋体"/>
              </w:rPr>
            </w:pPr>
            <w:r>
              <w:rPr>
                <w:rFonts w:hint="eastAsia" w:ascii="宋体" w:hAnsi="宋体" w:eastAsia="宋体" w:cs="宋体"/>
                <w:b w:val="0"/>
                <w:sz w:val="18"/>
              </w:rPr>
              <w:t>3,500 / 750 / 750</w:t>
            </w:r>
            <w:r>
              <w:rPr>
                <w:rFonts w:hint="eastAsia" w:ascii="宋体" w:hAnsi="宋体" w:eastAsia="宋体" w:cs="宋体"/>
                <w:sz w:val="18"/>
                <w:vertAlign w:val="superscript"/>
              </w:rPr>
              <w:t>b</w:t>
            </w:r>
          </w:p>
        </w:tc>
        <w:tc>
          <w:tcPr>
            <w:tcW w:w="1728" w:type="dxa"/>
          </w:tcPr>
          <w:p w14:paraId="7F7A2401">
            <w:pPr>
              <w:spacing w:after="0" w:line="240" w:lineRule="auto"/>
              <w:rPr>
                <w:rFonts w:hint="eastAsia" w:ascii="宋体" w:hAnsi="宋体" w:eastAsia="宋体" w:cs="宋体"/>
              </w:rPr>
            </w:pPr>
            <w:r>
              <w:rPr>
                <w:rFonts w:hint="eastAsia" w:ascii="宋体" w:hAnsi="宋体" w:eastAsia="宋体" w:cs="宋体"/>
                <w:b w:val="0"/>
                <w:sz w:val="18"/>
              </w:rPr>
              <w:t>— / — / 614</w:t>
            </w:r>
            <w:r>
              <w:rPr>
                <w:rFonts w:hint="eastAsia" w:ascii="宋体" w:hAnsi="宋体" w:eastAsia="宋体" w:cs="宋体"/>
                <w:sz w:val="18"/>
                <w:vertAlign w:val="superscript"/>
              </w:rPr>
              <w:t>c</w:t>
            </w:r>
          </w:p>
        </w:tc>
        <w:tc>
          <w:tcPr>
            <w:tcW w:w="1728" w:type="dxa"/>
          </w:tcPr>
          <w:p w14:paraId="083615F2">
            <w:pPr>
              <w:spacing w:after="0" w:line="240" w:lineRule="auto"/>
              <w:rPr>
                <w:rFonts w:hint="eastAsia" w:ascii="宋体" w:hAnsi="宋体" w:eastAsia="宋体" w:cs="宋体"/>
              </w:rPr>
            </w:pPr>
            <w:r>
              <w:rPr>
                <w:rFonts w:hint="eastAsia" w:ascii="宋体" w:hAnsi="宋体" w:eastAsia="宋体" w:cs="宋体"/>
                <w:b w:val="0"/>
                <w:sz w:val="18"/>
              </w:rPr>
              <w:t>— / — / 3,954</w:t>
            </w:r>
          </w:p>
        </w:tc>
        <w:tc>
          <w:tcPr>
            <w:tcW w:w="1728" w:type="dxa"/>
          </w:tcPr>
          <w:p w14:paraId="6D9D3098">
            <w:pPr>
              <w:spacing w:after="0" w:line="240" w:lineRule="auto"/>
              <w:rPr>
                <w:rFonts w:hint="eastAsia" w:ascii="宋体" w:hAnsi="宋体" w:eastAsia="宋体" w:cs="宋体"/>
              </w:rPr>
            </w:pPr>
            <w:r>
              <w:rPr>
                <w:rFonts w:hint="eastAsia" w:ascii="宋体" w:hAnsi="宋体" w:eastAsia="宋体" w:cs="宋体"/>
                <w:b w:val="0"/>
                <w:sz w:val="18"/>
              </w:rPr>
              <w:t>8,615 / 926 / 2,094</w:t>
            </w:r>
            <w:r>
              <w:rPr>
                <w:rFonts w:hint="eastAsia" w:ascii="宋体" w:hAnsi="宋体" w:eastAsia="宋体" w:cs="宋体"/>
                <w:sz w:val="18"/>
                <w:vertAlign w:val="superscript"/>
              </w:rPr>
              <w:t>d</w:t>
            </w:r>
          </w:p>
        </w:tc>
      </w:tr>
      <w:tr w14:paraId="5FBA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40223CF">
            <w:pPr>
              <w:spacing w:after="0" w:line="240" w:lineRule="auto"/>
              <w:rPr>
                <w:rFonts w:hint="eastAsia" w:ascii="宋体" w:hAnsi="宋体" w:eastAsia="宋体" w:cs="宋体"/>
              </w:rPr>
            </w:pPr>
            <w:r>
              <w:rPr>
                <w:rFonts w:hint="eastAsia" w:ascii="宋体" w:hAnsi="宋体" w:eastAsia="宋体" w:cs="宋体"/>
                <w:b w:val="0"/>
                <w:sz w:val="18"/>
              </w:rPr>
              <w:t>参考标准</w:t>
            </w:r>
          </w:p>
        </w:tc>
        <w:tc>
          <w:tcPr>
            <w:tcW w:w="1728" w:type="dxa"/>
          </w:tcPr>
          <w:p w14:paraId="784D8D7C">
            <w:pPr>
              <w:spacing w:after="0" w:line="240" w:lineRule="auto"/>
              <w:rPr>
                <w:rFonts w:hint="eastAsia" w:ascii="宋体" w:hAnsi="宋体" w:eastAsia="宋体" w:cs="宋体"/>
              </w:rPr>
            </w:pPr>
            <w:r>
              <w:rPr>
                <w:rFonts w:hint="eastAsia" w:ascii="宋体" w:hAnsi="宋体" w:eastAsia="宋体" w:cs="宋体"/>
                <w:b w:val="0"/>
                <w:sz w:val="18"/>
              </w:rPr>
              <w:t>活检确认</w:t>
            </w:r>
          </w:p>
        </w:tc>
        <w:tc>
          <w:tcPr>
            <w:tcW w:w="1728" w:type="dxa"/>
          </w:tcPr>
          <w:p w14:paraId="565B578A">
            <w:pPr>
              <w:spacing w:after="0" w:line="240" w:lineRule="auto"/>
              <w:rPr>
                <w:rFonts w:hint="eastAsia" w:ascii="宋体" w:hAnsi="宋体" w:eastAsia="宋体" w:cs="宋体"/>
              </w:rPr>
            </w:pPr>
            <w:r>
              <w:rPr>
                <w:rFonts w:hint="eastAsia" w:ascii="宋体" w:hAnsi="宋体" w:eastAsia="宋体" w:cs="宋体"/>
                <w:b w:val="0"/>
                <w:sz w:val="18"/>
              </w:rPr>
              <w:t>已发表标签 [11]</w:t>
            </w:r>
          </w:p>
        </w:tc>
        <w:tc>
          <w:tcPr>
            <w:tcW w:w="1728" w:type="dxa"/>
          </w:tcPr>
          <w:p w14:paraId="4EB7E98C">
            <w:pPr>
              <w:spacing w:after="0" w:line="240" w:lineRule="auto"/>
              <w:rPr>
                <w:rFonts w:hint="eastAsia" w:ascii="宋体" w:hAnsi="宋体" w:eastAsia="宋体" w:cs="宋体"/>
              </w:rPr>
            </w:pPr>
            <w:r>
              <w:rPr>
                <w:rFonts w:hint="eastAsia" w:ascii="宋体" w:hAnsi="宋体" w:eastAsia="宋体" w:cs="宋体"/>
                <w:b w:val="0"/>
                <w:sz w:val="18"/>
              </w:rPr>
              <w:t>病理诊断 [14]</w:t>
            </w:r>
          </w:p>
        </w:tc>
        <w:tc>
          <w:tcPr>
            <w:tcW w:w="1728" w:type="dxa"/>
          </w:tcPr>
          <w:p w14:paraId="10992A77">
            <w:pPr>
              <w:spacing w:after="0" w:line="240" w:lineRule="auto"/>
              <w:rPr>
                <w:rFonts w:hint="eastAsia" w:ascii="宋体" w:hAnsi="宋体" w:eastAsia="宋体" w:cs="宋体"/>
              </w:rPr>
            </w:pPr>
            <w:r>
              <w:rPr>
                <w:rFonts w:hint="eastAsia" w:ascii="宋体" w:hAnsi="宋体" w:eastAsia="宋体" w:cs="宋体"/>
                <w:b w:val="0"/>
                <w:sz w:val="18"/>
              </w:rPr>
              <w:t>细胞学/病理 [13]</w:t>
            </w:r>
          </w:p>
        </w:tc>
      </w:tr>
      <w:tr w14:paraId="10C1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F7ACCFA">
            <w:pPr>
              <w:spacing w:after="0" w:line="240" w:lineRule="auto"/>
              <w:rPr>
                <w:rFonts w:hint="eastAsia" w:ascii="宋体" w:hAnsi="宋体" w:eastAsia="宋体" w:cs="宋体"/>
              </w:rPr>
            </w:pPr>
            <w:r>
              <w:rPr>
                <w:rFonts w:hint="eastAsia" w:ascii="宋体" w:hAnsi="宋体" w:eastAsia="宋体" w:cs="宋体"/>
                <w:b w:val="0"/>
                <w:sz w:val="18"/>
              </w:rPr>
              <w:t>采集</w:t>
            </w:r>
          </w:p>
        </w:tc>
        <w:tc>
          <w:tcPr>
            <w:tcW w:w="1728" w:type="dxa"/>
          </w:tcPr>
          <w:p w14:paraId="5F775A7B">
            <w:pPr>
              <w:spacing w:after="0" w:line="240" w:lineRule="auto"/>
              <w:rPr>
                <w:rFonts w:hint="eastAsia" w:ascii="宋体" w:hAnsi="宋体" w:eastAsia="宋体" w:cs="宋体"/>
              </w:rPr>
            </w:pPr>
            <w:r>
              <w:rPr>
                <w:rFonts w:hint="eastAsia" w:ascii="宋体" w:hAnsi="宋体" w:eastAsia="宋体" w:cs="宋体"/>
                <w:b w:val="0"/>
                <w:sz w:val="18"/>
              </w:rPr>
              <w:t>单机构，GE Logiq E9/S7</w:t>
            </w:r>
          </w:p>
        </w:tc>
        <w:tc>
          <w:tcPr>
            <w:tcW w:w="1728" w:type="dxa"/>
          </w:tcPr>
          <w:p w14:paraId="28956773">
            <w:pPr>
              <w:spacing w:after="0" w:line="240" w:lineRule="auto"/>
              <w:rPr>
                <w:rFonts w:hint="eastAsia" w:ascii="宋体" w:hAnsi="宋体" w:eastAsia="宋体" w:cs="宋体"/>
              </w:rPr>
            </w:pPr>
            <w:r>
              <w:rPr>
                <w:rFonts w:hint="eastAsia" w:ascii="宋体" w:hAnsi="宋体" w:eastAsia="宋体" w:cs="宋体"/>
                <w:b w:val="0"/>
                <w:sz w:val="18"/>
              </w:rPr>
              <w:t>多设备、多机构</w:t>
            </w:r>
          </w:p>
        </w:tc>
        <w:tc>
          <w:tcPr>
            <w:tcW w:w="1728" w:type="dxa"/>
          </w:tcPr>
          <w:p w14:paraId="54B8C7AB">
            <w:pPr>
              <w:spacing w:after="0" w:line="240" w:lineRule="auto"/>
              <w:rPr>
                <w:rFonts w:hint="eastAsia" w:ascii="宋体" w:hAnsi="宋体" w:eastAsia="宋体" w:cs="宋体"/>
              </w:rPr>
            </w:pPr>
            <w:r>
              <w:rPr>
                <w:rFonts w:hint="eastAsia" w:ascii="宋体" w:hAnsi="宋体" w:eastAsia="宋体" w:cs="宋体"/>
                <w:b w:val="0"/>
                <w:sz w:val="18"/>
              </w:rPr>
              <w:t>单机构，暨南大学附属医院</w:t>
            </w:r>
          </w:p>
        </w:tc>
        <w:tc>
          <w:tcPr>
            <w:tcW w:w="1728" w:type="dxa"/>
          </w:tcPr>
          <w:p w14:paraId="2560CF49">
            <w:pPr>
              <w:spacing w:after="0" w:line="240" w:lineRule="auto"/>
              <w:rPr>
                <w:rFonts w:hint="eastAsia" w:ascii="宋体" w:hAnsi="宋体" w:eastAsia="宋体" w:cs="宋体"/>
              </w:rPr>
            </w:pPr>
            <w:r>
              <w:rPr>
                <w:rFonts w:hint="eastAsia" w:ascii="宋体" w:hAnsi="宋体" w:eastAsia="宋体" w:cs="宋体"/>
                <w:b w:val="0"/>
                <w:sz w:val="18"/>
              </w:rPr>
              <w:t>单机构，Hitachi Aloka Arietta V70</w:t>
            </w:r>
          </w:p>
        </w:tc>
      </w:tr>
      <w:tr w14:paraId="0B0B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84E3A7F">
            <w:pPr>
              <w:spacing w:after="0" w:line="240" w:lineRule="auto"/>
              <w:rPr>
                <w:rFonts w:hint="eastAsia" w:ascii="宋体" w:hAnsi="宋体" w:eastAsia="宋体" w:cs="宋体"/>
              </w:rPr>
            </w:pPr>
            <w:r>
              <w:rPr>
                <w:rFonts w:hint="eastAsia" w:ascii="宋体" w:hAnsi="宋体" w:eastAsia="宋体" w:cs="宋体"/>
                <w:b w:val="0"/>
                <w:sz w:val="18"/>
              </w:rPr>
              <w:t>许可</w:t>
            </w:r>
          </w:p>
        </w:tc>
        <w:tc>
          <w:tcPr>
            <w:tcW w:w="1728" w:type="dxa"/>
          </w:tcPr>
          <w:p w14:paraId="5A71F100">
            <w:pPr>
              <w:spacing w:after="0" w:line="240" w:lineRule="auto"/>
              <w:rPr>
                <w:rFonts w:hint="eastAsia" w:ascii="宋体" w:hAnsi="宋体" w:eastAsia="宋体" w:cs="宋体"/>
              </w:rPr>
            </w:pPr>
            <w:r>
              <w:rPr>
                <w:rFonts w:hint="eastAsia" w:ascii="宋体" w:hAnsi="宋体" w:eastAsia="宋体" w:cs="宋体"/>
                <w:b w:val="0"/>
                <w:sz w:val="18"/>
              </w:rPr>
              <w:t>开放获取 [12]</w:t>
            </w:r>
          </w:p>
        </w:tc>
        <w:tc>
          <w:tcPr>
            <w:tcW w:w="1728" w:type="dxa"/>
          </w:tcPr>
          <w:p w14:paraId="3C2156FB">
            <w:pPr>
              <w:spacing w:after="0" w:line="240" w:lineRule="auto"/>
              <w:rPr>
                <w:rFonts w:hint="eastAsia" w:ascii="宋体" w:hAnsi="宋体" w:eastAsia="宋体" w:cs="宋体"/>
              </w:rPr>
            </w:pPr>
            <w:r>
              <w:rPr>
                <w:rFonts w:hint="eastAsia" w:ascii="宋体" w:hAnsi="宋体" w:eastAsia="宋体" w:cs="宋体"/>
                <w:b w:val="0"/>
                <w:sz w:val="18"/>
              </w:rPr>
              <w:t>开放获取 [10,11]</w:t>
            </w:r>
          </w:p>
        </w:tc>
        <w:tc>
          <w:tcPr>
            <w:tcW w:w="1728" w:type="dxa"/>
          </w:tcPr>
          <w:p w14:paraId="3140CDCF">
            <w:pPr>
              <w:spacing w:after="0" w:line="240" w:lineRule="auto"/>
              <w:rPr>
                <w:rFonts w:hint="eastAsia" w:ascii="宋体" w:hAnsi="宋体" w:eastAsia="宋体" w:cs="宋体"/>
              </w:rPr>
            </w:pPr>
            <w:r>
              <w:rPr>
                <w:rFonts w:hint="eastAsia" w:ascii="宋体" w:hAnsi="宋体" w:eastAsia="宋体" w:cs="宋体"/>
                <w:b w:val="0"/>
                <w:sz w:val="18"/>
              </w:rPr>
              <w:t>CC BY 4.0 [14]</w:t>
            </w:r>
          </w:p>
        </w:tc>
        <w:tc>
          <w:tcPr>
            <w:tcW w:w="1728" w:type="dxa"/>
          </w:tcPr>
          <w:p w14:paraId="70B204DB">
            <w:pPr>
              <w:spacing w:after="0" w:line="240" w:lineRule="auto"/>
              <w:rPr>
                <w:rFonts w:hint="eastAsia" w:ascii="宋体" w:hAnsi="宋体" w:eastAsia="宋体" w:cs="宋体"/>
              </w:rPr>
            </w:pPr>
            <w:r>
              <w:rPr>
                <w:rFonts w:hint="eastAsia" w:ascii="宋体" w:hAnsi="宋体" w:eastAsia="宋体" w:cs="宋体"/>
                <w:b w:val="0"/>
                <w:sz w:val="18"/>
              </w:rPr>
              <w:t>受限访问（研究用途）[13]</w:t>
            </w:r>
          </w:p>
        </w:tc>
      </w:tr>
      <w:tr w14:paraId="48EB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1C85CBF">
            <w:pPr>
              <w:spacing w:after="0" w:line="240" w:lineRule="auto"/>
              <w:rPr>
                <w:rFonts w:hint="eastAsia" w:ascii="宋体" w:hAnsi="宋体" w:eastAsia="宋体" w:cs="宋体"/>
              </w:rPr>
            </w:pPr>
            <w:r>
              <w:rPr>
                <w:rFonts w:hint="eastAsia" w:ascii="宋体" w:hAnsi="宋体" w:eastAsia="宋体" w:cs="宋体"/>
                <w:b w:val="0"/>
                <w:sz w:val="18"/>
              </w:rPr>
              <w:t>本研究角色</w:t>
            </w:r>
          </w:p>
        </w:tc>
        <w:tc>
          <w:tcPr>
            <w:tcW w:w="1728" w:type="dxa"/>
          </w:tcPr>
          <w:p w14:paraId="760C60F8">
            <w:pPr>
              <w:spacing w:after="0" w:line="240" w:lineRule="auto"/>
              <w:rPr>
                <w:rFonts w:hint="eastAsia" w:ascii="宋体" w:hAnsi="宋体" w:eastAsia="宋体" w:cs="宋体"/>
              </w:rPr>
            </w:pPr>
            <w:r>
              <w:rPr>
                <w:rFonts w:hint="eastAsia" w:ascii="宋体" w:hAnsi="宋体" w:eastAsia="宋体" w:cs="宋体"/>
                <w:b w:val="0"/>
                <w:sz w:val="18"/>
              </w:rPr>
              <w:t>主要训练 + 内部测试</w:t>
            </w:r>
          </w:p>
        </w:tc>
        <w:tc>
          <w:tcPr>
            <w:tcW w:w="1728" w:type="dxa"/>
          </w:tcPr>
          <w:p w14:paraId="5B4816EE">
            <w:pPr>
              <w:spacing w:after="0" w:line="240" w:lineRule="auto"/>
              <w:rPr>
                <w:rFonts w:hint="eastAsia" w:ascii="宋体" w:hAnsi="宋体" w:eastAsia="宋体" w:cs="宋体"/>
              </w:rPr>
            </w:pPr>
            <w:r>
              <w:rPr>
                <w:rFonts w:hint="eastAsia" w:ascii="宋体" w:hAnsi="宋体" w:eastAsia="宋体" w:cs="宋体"/>
                <w:b w:val="0"/>
                <w:sz w:val="18"/>
              </w:rPr>
              <w:t>外部验证 #1</w:t>
            </w:r>
          </w:p>
        </w:tc>
        <w:tc>
          <w:tcPr>
            <w:tcW w:w="1728" w:type="dxa"/>
          </w:tcPr>
          <w:p w14:paraId="407C772E">
            <w:pPr>
              <w:spacing w:after="0" w:line="240" w:lineRule="auto"/>
              <w:rPr>
                <w:rFonts w:hint="eastAsia" w:ascii="宋体" w:hAnsi="宋体" w:eastAsia="宋体" w:cs="宋体"/>
              </w:rPr>
            </w:pPr>
            <w:r>
              <w:rPr>
                <w:rFonts w:hint="eastAsia" w:ascii="宋体" w:hAnsi="宋体" w:eastAsia="宋体" w:cs="宋体"/>
                <w:b w:val="0"/>
                <w:sz w:val="18"/>
              </w:rPr>
              <w:t>外部验证 #2</w:t>
            </w:r>
          </w:p>
        </w:tc>
        <w:tc>
          <w:tcPr>
            <w:tcW w:w="1728" w:type="dxa"/>
          </w:tcPr>
          <w:p w14:paraId="6C6FD445">
            <w:pPr>
              <w:spacing w:after="0" w:line="240" w:lineRule="auto"/>
              <w:rPr>
                <w:rFonts w:hint="eastAsia" w:ascii="宋体" w:hAnsi="宋体" w:eastAsia="宋体" w:cs="宋体"/>
              </w:rPr>
            </w:pPr>
            <w:r>
              <w:rPr>
                <w:rFonts w:hint="eastAsia" w:ascii="宋体" w:hAnsi="宋体" w:eastAsia="宋体" w:cs="宋体"/>
                <w:b w:val="0"/>
                <w:sz w:val="18"/>
              </w:rPr>
              <w:t>融合训练/测试（3.5 节）</w:t>
            </w:r>
          </w:p>
        </w:tc>
      </w:tr>
    </w:tbl>
    <w:p w14:paraId="5DA666A8">
      <w:pPr>
        <w:spacing w:after="0" w:afterAutospacing="0"/>
        <w:rPr>
          <w:rFonts w:hint="eastAsia" w:ascii="宋体" w:hAnsi="宋体" w:eastAsia="宋体" w:cs="宋体"/>
        </w:rPr>
      </w:pPr>
    </w:p>
    <w:p w14:paraId="64D1CD21">
      <w:pPr>
        <w:pStyle w:val="4"/>
        <w:spacing w:before="0" w:beforeAutospacing="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 注：a. 每张 TN5000 图像对应一个独立结节，图像文件名作为患者标识符用于分组划分；b.患者级分组随机划分，训练/验证/测试比例为 70/15/15，随机种子为 42；</w:t>
      </w:r>
    </w:p>
    <w:p w14:paraId="274E75FC">
      <w:pPr>
        <w:pStyle w:val="4"/>
        <w:spacing w:before="0" w:beforeAutospacing="0"/>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c. 614 为 TN3K 官方测试集划分，联合训练使用 TN3K训练集（n = 2,879）训练、官方测试集评估；</w:t>
      </w:r>
    </w:p>
    <w:p w14:paraId="2521540B">
      <w:pPr>
        <w:pStyle w:val="4"/>
        <w:spacing w:before="0" w:beforeAutospacing="0"/>
        <w:rPr>
          <w:rFonts w:hint="eastAsia" w:ascii="宋体" w:hAnsi="宋体" w:eastAsia="宋体" w:cs="宋体"/>
          <w:b w:val="0"/>
          <w:bCs w:val="0"/>
          <w:sz w:val="22"/>
          <w:szCs w:val="22"/>
        </w:rPr>
      </w:pPr>
      <w:r>
        <w:rPr>
          <w:rFonts w:hint="eastAsia" w:ascii="宋体" w:hAnsi="宋体" w:eastAsia="宋体" w:cs="宋体"/>
          <w:b w:val="0"/>
          <w:bCs w:val="0"/>
          <w:sz w:val="22"/>
          <w:szCs w:val="22"/>
          <w:lang w:val="en-US" w:eastAsia="zh-CN"/>
        </w:rPr>
        <w:t>d. ThyroidXL 官方开发队列在患者级按 90/10 分为训练（n = 8,615）/验证（n =926）集，官方测试队列（739 个结节）保留用于评估。</w:t>
      </w:r>
      <w:r>
        <w:rPr>
          <w:rFonts w:hint="eastAsia" w:ascii="宋体" w:hAnsi="宋体" w:eastAsia="宋体" w:cs="宋体"/>
          <w:b w:val="0"/>
          <w:bCs w:val="0"/>
          <w:sz w:val="22"/>
          <w:szCs w:val="22"/>
        </w:rPr>
        <w:t>3.2 内部测试性能（纯图像，单数据集模型）</w:t>
      </w:r>
    </w:p>
    <w:p w14:paraId="1202D8C6">
      <w:pPr>
        <w:spacing w:after="120"/>
        <w:rPr>
          <w:rFonts w:hint="eastAsia" w:ascii="宋体" w:hAnsi="宋体" w:eastAsia="宋体" w:cs="宋体"/>
        </w:rPr>
      </w:pPr>
      <w:r>
        <w:rPr>
          <w:rFonts w:hint="eastAsia" w:ascii="宋体" w:hAnsi="宋体" w:eastAsia="宋体" w:cs="宋体"/>
        </w:rPr>
        <w:t>在 TN5000 上训练的纯图像模型验证 AUC 为 0.922（95% CI 0.896–0.943），独立测试 AUC 为 0.920（95% CI 0.897–0.941）。在固定 0.5 决策阈值下，测试灵敏度为 91.1%、特异度 72.4%、准确率 85.9%、F1 分数 0.903。期望校准误差为 0.035。</w:t>
      </w:r>
    </w:p>
    <w:p w14:paraId="73C824B1">
      <w:pPr>
        <w:pStyle w:val="4"/>
        <w:rPr>
          <w:rFonts w:hint="eastAsia" w:ascii="宋体" w:hAnsi="宋体" w:eastAsia="宋体" w:cs="宋体"/>
        </w:rPr>
      </w:pPr>
      <w:r>
        <w:rPr>
          <w:rFonts w:hint="eastAsia" w:ascii="宋体" w:hAnsi="宋体" w:eastAsia="宋体" w:cs="宋体"/>
        </w:rPr>
        <w:t>3.3 外部验证揭示显著域漂移</w:t>
      </w:r>
    </w:p>
    <w:p w14:paraId="4EB6995C">
      <w:pPr>
        <w:spacing w:after="120"/>
        <w:rPr>
          <w:rFonts w:hint="eastAsia" w:ascii="宋体" w:hAnsi="宋体" w:eastAsia="宋体" w:cs="宋体"/>
        </w:rPr>
      </w:pPr>
      <w:r>
        <w:rPr>
          <w:rFonts w:hint="eastAsia" w:ascii="宋体" w:hAnsi="宋体" w:eastAsia="宋体" w:cs="宋体"/>
        </w:rPr>
        <w:t>将单数据集模型应用于完整 TN3K 队列（来自不同机构和设备环境的 3,493 张图像）得到 AUC 0.713（95% CI 0.696–0.731），灵敏度 58.3%、特异度 72.7%（期望校准误差 0.136）。在官方 TN3K 测试划分（n = 614）上，同一模型 AUC 为 0.729（95% CI 0.685–0.767），我们将其用作下文联合训练对比的匹配基线。AUC 相对内部测试下降 0.21，量化了单中心评估中常被低估的跨数据集域漂移。</w:t>
      </w:r>
    </w:p>
    <w:p w14:paraId="70016646">
      <w:pPr>
        <w:pStyle w:val="4"/>
        <w:rPr>
          <w:rFonts w:hint="eastAsia" w:ascii="宋体" w:hAnsi="宋体" w:eastAsia="宋体" w:cs="宋体"/>
        </w:rPr>
      </w:pPr>
      <w:r>
        <w:rPr>
          <w:rFonts w:hint="eastAsia" w:ascii="宋体" w:hAnsi="宋体" w:eastAsia="宋体" w:cs="宋体"/>
        </w:rPr>
        <w:t>3.4 联合多数据集训练改善内部与外部性能</w:t>
      </w:r>
    </w:p>
    <w:p w14:paraId="0F74F685">
      <w:pPr>
        <w:spacing w:after="120"/>
        <w:rPr>
          <w:rFonts w:hint="eastAsia" w:ascii="宋体" w:hAnsi="宋体" w:eastAsia="宋体" w:cs="宋体"/>
        </w:rPr>
      </w:pPr>
      <w:r>
        <w:rPr>
          <w:rFonts w:hint="eastAsia" w:ascii="宋体" w:hAnsi="宋体" w:eastAsia="宋体" w:cs="宋体"/>
        </w:rPr>
        <w:t>在 TN5000 上联合 TN3K 训练子集（合并清单共 7,129 张图像：6,379 张训练加 750 张验证）训练，适度改善了内部判别力，同时显著提升外部性能。联合模型验证 AUC 达 0.932（95% CI 0.910–0.953），独立 TN5000 测试 AUC 为 0.931（95% CI 0.910–0.951），灵敏度 94.8%、特异度 75.7%（期望校准误差 0.020）。在官方 TN3K 测试集（n = 614）上，外部 AUC 从 0.729 提升至 0.814（95% CI 0.779–0.846；匹配 Δ = +0.085），灵敏度 67.4%、特异度 78.8%、期望校准误差 0.051（表 2；图 2–4）。因此联合训练在外部 TN3K 队列上恢复了约一半的域漂移差距。</w:t>
      </w:r>
    </w:p>
    <w:p w14:paraId="26848695">
      <w:pPr>
        <w:spacing w:after="120"/>
        <w:rPr>
          <w:rFonts w:hint="eastAsia" w:ascii="宋体" w:hAnsi="宋体" w:eastAsia="宋体" w:cs="宋体"/>
        </w:rPr>
      </w:pPr>
      <w:r>
        <w:rPr>
          <w:rFonts w:hint="eastAsia" w:ascii="宋体" w:hAnsi="宋体" w:eastAsia="宋体" w:cs="宋体"/>
        </w:rPr>
        <w:t>该增益转移到了第二个完全独立的队列。应用于 Thy-Wise（来自第三机构的 3,954 个病理确诊结节）时，单数据集（仅 TN5000）模型结节级 AUC 为 0.608（95% CI 0.589–0.628），联合训练将其提升至 0.710（95% CI 0.693–0.727；Δ = +0.102），期望校准误差 0.057，计算指标前先将结节内图像级概率取平均。图像级统计明显更低（单数据集 AUC 0.540；联合 AUC 0.607；补充表 S1b），反映每个结节有多张部分冗余的帧；因此采用结节级聚合作为主要外部估计。联合训练在 Thy-Wise 上的增益（+0.102）与 TN3K 上的增益（+0.085）相当，表明多数据集训练的好处可转移到未见分布。</w:t>
      </w:r>
    </w:p>
    <w:p w14:paraId="24D40B83">
      <w:pPr>
        <w:spacing w:after="120"/>
        <w:rPr>
          <w:rFonts w:hint="eastAsia" w:ascii="宋体" w:hAnsi="宋体" w:eastAsia="宋体" w:cs="宋体"/>
        </w:rPr>
      </w:pPr>
      <w:r>
        <w:rPr>
          <w:rFonts w:hint="eastAsia" w:ascii="宋体" w:hAnsi="宋体" w:eastAsia="宋体" w:cs="宋体"/>
          <w:b/>
        </w:rPr>
        <w:t>表 2.</w:t>
      </w:r>
      <w:r>
        <w:rPr>
          <w:rFonts w:hint="eastAsia" w:ascii="宋体" w:hAnsi="宋体" w:eastAsia="宋体" w:cs="宋体"/>
        </w:rPr>
        <w:t xml:space="preserve"> 纯图像模型在各数据集上的分类性能。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gridCol w:w="2200"/>
        <w:gridCol w:w="1050"/>
        <w:gridCol w:w="900"/>
        <w:gridCol w:w="760"/>
        <w:gridCol w:w="860"/>
        <w:gridCol w:w="743"/>
      </w:tblGrid>
      <w:tr w14:paraId="3ABA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03735997">
            <w:pPr>
              <w:spacing w:after="0" w:line="240" w:lineRule="auto"/>
              <w:rPr>
                <w:rFonts w:hint="eastAsia" w:ascii="宋体" w:hAnsi="宋体" w:eastAsia="宋体" w:cs="宋体"/>
              </w:rPr>
            </w:pPr>
            <w:r>
              <w:rPr>
                <w:rFonts w:hint="eastAsia" w:ascii="宋体" w:hAnsi="宋体" w:eastAsia="宋体" w:cs="宋体"/>
                <w:b/>
                <w:sz w:val="18"/>
              </w:rPr>
              <w:t>模型 / 评估</w:t>
            </w:r>
          </w:p>
        </w:tc>
        <w:tc>
          <w:tcPr>
            <w:tcW w:w="2200" w:type="dxa"/>
          </w:tcPr>
          <w:p w14:paraId="307ECF10">
            <w:pPr>
              <w:spacing w:after="0" w:line="240" w:lineRule="auto"/>
              <w:rPr>
                <w:rFonts w:hint="eastAsia" w:ascii="宋体" w:hAnsi="宋体" w:eastAsia="宋体" w:cs="宋体"/>
              </w:rPr>
            </w:pPr>
            <w:r>
              <w:rPr>
                <w:rFonts w:hint="eastAsia" w:ascii="宋体" w:hAnsi="宋体" w:eastAsia="宋体" w:cs="宋体"/>
                <w:b/>
                <w:sz w:val="18"/>
              </w:rPr>
              <w:t>AUC（95% CI）</w:t>
            </w:r>
          </w:p>
        </w:tc>
        <w:tc>
          <w:tcPr>
            <w:tcW w:w="1050" w:type="dxa"/>
          </w:tcPr>
          <w:p w14:paraId="7D5E2736">
            <w:pPr>
              <w:spacing w:after="0" w:line="240" w:lineRule="auto"/>
              <w:rPr>
                <w:rFonts w:hint="eastAsia" w:ascii="宋体" w:hAnsi="宋体" w:eastAsia="宋体" w:cs="宋体"/>
              </w:rPr>
            </w:pPr>
            <w:r>
              <w:rPr>
                <w:rFonts w:hint="eastAsia" w:ascii="宋体" w:hAnsi="宋体" w:eastAsia="宋体" w:cs="宋体"/>
                <w:b/>
                <w:sz w:val="18"/>
              </w:rPr>
              <w:t>灵敏度</w:t>
            </w:r>
          </w:p>
        </w:tc>
        <w:tc>
          <w:tcPr>
            <w:tcW w:w="900" w:type="dxa"/>
          </w:tcPr>
          <w:p w14:paraId="456719F2">
            <w:pPr>
              <w:spacing w:after="0" w:line="240" w:lineRule="auto"/>
              <w:rPr>
                <w:rFonts w:hint="eastAsia" w:ascii="宋体" w:hAnsi="宋体" w:eastAsia="宋体" w:cs="宋体"/>
              </w:rPr>
            </w:pPr>
            <w:r>
              <w:rPr>
                <w:rFonts w:hint="eastAsia" w:ascii="宋体" w:hAnsi="宋体" w:eastAsia="宋体" w:cs="宋体"/>
                <w:b/>
                <w:sz w:val="18"/>
              </w:rPr>
              <w:t>特异度</w:t>
            </w:r>
          </w:p>
        </w:tc>
        <w:tc>
          <w:tcPr>
            <w:tcW w:w="760" w:type="dxa"/>
          </w:tcPr>
          <w:p w14:paraId="4931712F">
            <w:pPr>
              <w:spacing w:after="0" w:line="240" w:lineRule="auto"/>
              <w:rPr>
                <w:rFonts w:hint="eastAsia" w:ascii="宋体" w:hAnsi="宋体" w:eastAsia="宋体" w:cs="宋体"/>
              </w:rPr>
            </w:pPr>
            <w:r>
              <w:rPr>
                <w:rFonts w:hint="eastAsia" w:ascii="宋体" w:hAnsi="宋体" w:eastAsia="宋体" w:cs="宋体"/>
                <w:b/>
                <w:sz w:val="18"/>
              </w:rPr>
              <w:t>ACC</w:t>
            </w:r>
          </w:p>
        </w:tc>
        <w:tc>
          <w:tcPr>
            <w:tcW w:w="860" w:type="dxa"/>
          </w:tcPr>
          <w:p w14:paraId="3D92ED1E">
            <w:pPr>
              <w:spacing w:after="0" w:line="240" w:lineRule="auto"/>
              <w:rPr>
                <w:rFonts w:hint="eastAsia" w:ascii="宋体" w:hAnsi="宋体" w:eastAsia="宋体" w:cs="宋体"/>
              </w:rPr>
            </w:pPr>
            <w:r>
              <w:rPr>
                <w:rFonts w:hint="eastAsia" w:ascii="宋体" w:hAnsi="宋体" w:eastAsia="宋体" w:cs="宋体"/>
                <w:b/>
                <w:sz w:val="18"/>
              </w:rPr>
              <w:t>ECE</w:t>
            </w:r>
          </w:p>
        </w:tc>
        <w:tc>
          <w:tcPr>
            <w:tcW w:w="743" w:type="dxa"/>
          </w:tcPr>
          <w:p w14:paraId="612E65F6">
            <w:pPr>
              <w:spacing w:after="0" w:line="240" w:lineRule="auto"/>
              <w:rPr>
                <w:rFonts w:hint="eastAsia" w:ascii="宋体" w:hAnsi="宋体" w:eastAsia="宋体" w:cs="宋体"/>
              </w:rPr>
            </w:pPr>
            <w:r>
              <w:rPr>
                <w:rFonts w:hint="eastAsia" w:ascii="宋体" w:hAnsi="宋体" w:eastAsia="宋体" w:cs="宋体"/>
                <w:b/>
                <w:sz w:val="18"/>
              </w:rPr>
              <w:t>n</w:t>
            </w:r>
          </w:p>
        </w:tc>
      </w:tr>
      <w:tr w14:paraId="280F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2DF0F918">
            <w:pPr>
              <w:spacing w:after="0" w:line="240" w:lineRule="auto"/>
              <w:rPr>
                <w:rFonts w:hint="eastAsia" w:ascii="宋体" w:hAnsi="宋体" w:eastAsia="宋体" w:cs="宋体"/>
              </w:rPr>
            </w:pPr>
            <w:r>
              <w:rPr>
                <w:rFonts w:hint="eastAsia" w:ascii="宋体" w:hAnsi="宋体" w:eastAsia="宋体" w:cs="宋体"/>
                <w:b/>
                <w:sz w:val="18"/>
              </w:rPr>
              <w:t>仅 TN5000（纯图像）</w:t>
            </w:r>
          </w:p>
        </w:tc>
        <w:tc>
          <w:tcPr>
            <w:tcW w:w="2200" w:type="dxa"/>
          </w:tcPr>
          <w:p w14:paraId="79D454D5">
            <w:pPr>
              <w:spacing w:after="0" w:line="240" w:lineRule="auto"/>
              <w:rPr>
                <w:rFonts w:hint="eastAsia" w:ascii="宋体" w:hAnsi="宋体" w:eastAsia="宋体" w:cs="宋体"/>
              </w:rPr>
            </w:pPr>
          </w:p>
        </w:tc>
        <w:tc>
          <w:tcPr>
            <w:tcW w:w="1050" w:type="dxa"/>
          </w:tcPr>
          <w:p w14:paraId="46076910">
            <w:pPr>
              <w:spacing w:after="0" w:line="240" w:lineRule="auto"/>
              <w:rPr>
                <w:rFonts w:hint="eastAsia" w:ascii="宋体" w:hAnsi="宋体" w:eastAsia="宋体" w:cs="宋体"/>
              </w:rPr>
            </w:pPr>
          </w:p>
        </w:tc>
        <w:tc>
          <w:tcPr>
            <w:tcW w:w="900" w:type="dxa"/>
          </w:tcPr>
          <w:p w14:paraId="0DCD3218">
            <w:pPr>
              <w:spacing w:after="0" w:line="240" w:lineRule="auto"/>
              <w:rPr>
                <w:rFonts w:hint="eastAsia" w:ascii="宋体" w:hAnsi="宋体" w:eastAsia="宋体" w:cs="宋体"/>
              </w:rPr>
            </w:pPr>
          </w:p>
        </w:tc>
        <w:tc>
          <w:tcPr>
            <w:tcW w:w="760" w:type="dxa"/>
          </w:tcPr>
          <w:p w14:paraId="2B8762AF">
            <w:pPr>
              <w:spacing w:after="0" w:line="240" w:lineRule="auto"/>
              <w:rPr>
                <w:rFonts w:hint="eastAsia" w:ascii="宋体" w:hAnsi="宋体" w:eastAsia="宋体" w:cs="宋体"/>
              </w:rPr>
            </w:pPr>
          </w:p>
        </w:tc>
        <w:tc>
          <w:tcPr>
            <w:tcW w:w="860" w:type="dxa"/>
          </w:tcPr>
          <w:p w14:paraId="6BD4C381">
            <w:pPr>
              <w:spacing w:after="0" w:line="240" w:lineRule="auto"/>
              <w:rPr>
                <w:rFonts w:hint="eastAsia" w:ascii="宋体" w:hAnsi="宋体" w:eastAsia="宋体" w:cs="宋体"/>
              </w:rPr>
            </w:pPr>
          </w:p>
        </w:tc>
        <w:tc>
          <w:tcPr>
            <w:tcW w:w="743" w:type="dxa"/>
          </w:tcPr>
          <w:p w14:paraId="664AB14F">
            <w:pPr>
              <w:spacing w:after="0" w:line="240" w:lineRule="auto"/>
              <w:rPr>
                <w:rFonts w:hint="eastAsia" w:ascii="宋体" w:hAnsi="宋体" w:eastAsia="宋体" w:cs="宋体"/>
              </w:rPr>
            </w:pPr>
          </w:p>
        </w:tc>
      </w:tr>
      <w:tr w14:paraId="60A2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223618BE">
            <w:pPr>
              <w:spacing w:after="0" w:line="240" w:lineRule="auto"/>
              <w:rPr>
                <w:rFonts w:hint="eastAsia" w:ascii="宋体" w:hAnsi="宋体" w:eastAsia="宋体" w:cs="宋体"/>
              </w:rPr>
            </w:pPr>
            <w:r>
              <w:rPr>
                <w:rFonts w:hint="eastAsia" w:ascii="宋体" w:hAnsi="宋体" w:eastAsia="宋体" w:cs="宋体"/>
                <w:b w:val="0"/>
                <w:sz w:val="18"/>
              </w:rPr>
              <w:t>TN5000 内部测试</w:t>
            </w:r>
          </w:p>
        </w:tc>
        <w:tc>
          <w:tcPr>
            <w:tcW w:w="2200" w:type="dxa"/>
          </w:tcPr>
          <w:p w14:paraId="50F4311C">
            <w:pPr>
              <w:spacing w:after="0" w:line="240" w:lineRule="auto"/>
              <w:rPr>
                <w:rFonts w:hint="eastAsia" w:ascii="宋体" w:hAnsi="宋体" w:eastAsia="宋体" w:cs="宋体"/>
              </w:rPr>
            </w:pPr>
            <w:r>
              <w:rPr>
                <w:rFonts w:hint="eastAsia" w:ascii="宋体" w:hAnsi="宋体" w:eastAsia="宋体" w:cs="宋体"/>
                <w:b w:val="0"/>
                <w:sz w:val="18"/>
              </w:rPr>
              <w:t>0.920（0.897–0.941）</w:t>
            </w:r>
          </w:p>
        </w:tc>
        <w:tc>
          <w:tcPr>
            <w:tcW w:w="1050" w:type="dxa"/>
          </w:tcPr>
          <w:p w14:paraId="4D78EFBE">
            <w:pPr>
              <w:spacing w:after="0" w:line="240" w:lineRule="auto"/>
              <w:rPr>
                <w:rFonts w:hint="eastAsia" w:ascii="宋体" w:hAnsi="宋体" w:eastAsia="宋体" w:cs="宋体"/>
              </w:rPr>
            </w:pPr>
            <w:r>
              <w:rPr>
                <w:rFonts w:hint="eastAsia" w:ascii="宋体" w:hAnsi="宋体" w:eastAsia="宋体" w:cs="宋体"/>
                <w:b w:val="0"/>
                <w:sz w:val="18"/>
              </w:rPr>
              <w:t>91.1%</w:t>
            </w:r>
          </w:p>
        </w:tc>
        <w:tc>
          <w:tcPr>
            <w:tcW w:w="900" w:type="dxa"/>
          </w:tcPr>
          <w:p w14:paraId="1331EF08">
            <w:pPr>
              <w:spacing w:after="0" w:line="240" w:lineRule="auto"/>
              <w:rPr>
                <w:rFonts w:hint="eastAsia" w:ascii="宋体" w:hAnsi="宋体" w:eastAsia="宋体" w:cs="宋体"/>
              </w:rPr>
            </w:pPr>
            <w:r>
              <w:rPr>
                <w:rFonts w:hint="eastAsia" w:ascii="宋体" w:hAnsi="宋体" w:eastAsia="宋体" w:cs="宋体"/>
                <w:b w:val="0"/>
                <w:sz w:val="18"/>
              </w:rPr>
              <w:t>72.4%</w:t>
            </w:r>
          </w:p>
        </w:tc>
        <w:tc>
          <w:tcPr>
            <w:tcW w:w="760" w:type="dxa"/>
          </w:tcPr>
          <w:p w14:paraId="7B9D146F">
            <w:pPr>
              <w:spacing w:after="0" w:line="240" w:lineRule="auto"/>
              <w:rPr>
                <w:rFonts w:hint="eastAsia" w:ascii="宋体" w:hAnsi="宋体" w:eastAsia="宋体" w:cs="宋体"/>
              </w:rPr>
            </w:pPr>
            <w:r>
              <w:rPr>
                <w:rFonts w:hint="eastAsia" w:ascii="宋体" w:hAnsi="宋体" w:eastAsia="宋体" w:cs="宋体"/>
                <w:b w:val="0"/>
                <w:sz w:val="18"/>
              </w:rPr>
              <w:t>85.9%</w:t>
            </w:r>
          </w:p>
        </w:tc>
        <w:tc>
          <w:tcPr>
            <w:tcW w:w="860" w:type="dxa"/>
          </w:tcPr>
          <w:p w14:paraId="30F95916">
            <w:pPr>
              <w:spacing w:after="0" w:line="240" w:lineRule="auto"/>
              <w:rPr>
                <w:rFonts w:hint="eastAsia" w:ascii="宋体" w:hAnsi="宋体" w:eastAsia="宋体" w:cs="宋体"/>
              </w:rPr>
            </w:pPr>
            <w:r>
              <w:rPr>
                <w:rFonts w:hint="eastAsia" w:ascii="宋体" w:hAnsi="宋体" w:eastAsia="宋体" w:cs="宋体"/>
                <w:b w:val="0"/>
                <w:sz w:val="18"/>
              </w:rPr>
              <w:t>0.035</w:t>
            </w:r>
          </w:p>
        </w:tc>
        <w:tc>
          <w:tcPr>
            <w:tcW w:w="743" w:type="dxa"/>
          </w:tcPr>
          <w:p w14:paraId="389BF33F">
            <w:pPr>
              <w:spacing w:after="0" w:line="240" w:lineRule="auto"/>
              <w:rPr>
                <w:rFonts w:hint="eastAsia" w:ascii="宋体" w:hAnsi="宋体" w:eastAsia="宋体" w:cs="宋体"/>
              </w:rPr>
            </w:pPr>
            <w:r>
              <w:rPr>
                <w:rFonts w:hint="eastAsia" w:ascii="宋体" w:hAnsi="宋体" w:eastAsia="宋体" w:cs="宋体"/>
                <w:b w:val="0"/>
                <w:sz w:val="18"/>
              </w:rPr>
              <w:t>750</w:t>
            </w:r>
          </w:p>
        </w:tc>
      </w:tr>
      <w:tr w14:paraId="3908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0179A679">
            <w:pPr>
              <w:spacing w:after="0" w:line="240" w:lineRule="auto"/>
              <w:rPr>
                <w:rFonts w:hint="eastAsia" w:ascii="宋体" w:hAnsi="宋体" w:eastAsia="宋体" w:cs="宋体"/>
              </w:rPr>
            </w:pPr>
            <w:r>
              <w:rPr>
                <w:rFonts w:hint="eastAsia" w:ascii="宋体" w:hAnsi="宋体" w:eastAsia="宋体" w:cs="宋体"/>
                <w:b w:val="0"/>
                <w:sz w:val="18"/>
              </w:rPr>
              <w:t>TN3K 外部（官方测试）</w:t>
            </w:r>
          </w:p>
        </w:tc>
        <w:tc>
          <w:tcPr>
            <w:tcW w:w="2200" w:type="dxa"/>
          </w:tcPr>
          <w:p w14:paraId="19880F2E">
            <w:pPr>
              <w:spacing w:after="0" w:line="240" w:lineRule="auto"/>
              <w:rPr>
                <w:rFonts w:hint="eastAsia" w:ascii="宋体" w:hAnsi="宋体" w:eastAsia="宋体" w:cs="宋体"/>
              </w:rPr>
            </w:pPr>
            <w:r>
              <w:rPr>
                <w:rFonts w:hint="eastAsia" w:ascii="宋体" w:hAnsi="宋体" w:eastAsia="宋体" w:cs="宋体"/>
                <w:b w:val="0"/>
                <w:sz w:val="18"/>
              </w:rPr>
              <w:t>0.729（0.685–0.767）</w:t>
            </w:r>
          </w:p>
        </w:tc>
        <w:tc>
          <w:tcPr>
            <w:tcW w:w="1050" w:type="dxa"/>
          </w:tcPr>
          <w:p w14:paraId="62C17F05">
            <w:pPr>
              <w:spacing w:after="0" w:line="240" w:lineRule="auto"/>
              <w:rPr>
                <w:rFonts w:hint="eastAsia" w:ascii="宋体" w:hAnsi="宋体" w:eastAsia="宋体" w:cs="宋体"/>
              </w:rPr>
            </w:pPr>
            <w:r>
              <w:rPr>
                <w:rFonts w:hint="eastAsia" w:ascii="宋体" w:hAnsi="宋体" w:eastAsia="宋体" w:cs="宋体"/>
                <w:b w:val="0"/>
                <w:sz w:val="18"/>
              </w:rPr>
              <w:t>51.3%</w:t>
            </w:r>
          </w:p>
        </w:tc>
        <w:tc>
          <w:tcPr>
            <w:tcW w:w="900" w:type="dxa"/>
          </w:tcPr>
          <w:p w14:paraId="17E41FEF">
            <w:pPr>
              <w:spacing w:after="0" w:line="240" w:lineRule="auto"/>
              <w:rPr>
                <w:rFonts w:hint="eastAsia" w:ascii="宋体" w:hAnsi="宋体" w:eastAsia="宋体" w:cs="宋体"/>
              </w:rPr>
            </w:pPr>
            <w:r>
              <w:rPr>
                <w:rFonts w:hint="eastAsia" w:ascii="宋体" w:hAnsi="宋体" w:eastAsia="宋体" w:cs="宋体"/>
                <w:b w:val="0"/>
                <w:sz w:val="18"/>
              </w:rPr>
              <w:t>78.0%</w:t>
            </w:r>
          </w:p>
        </w:tc>
        <w:tc>
          <w:tcPr>
            <w:tcW w:w="760" w:type="dxa"/>
          </w:tcPr>
          <w:p w14:paraId="7A2568A8">
            <w:pPr>
              <w:spacing w:after="0" w:line="240" w:lineRule="auto"/>
              <w:rPr>
                <w:rFonts w:hint="eastAsia" w:ascii="宋体" w:hAnsi="宋体" w:eastAsia="宋体" w:cs="宋体"/>
              </w:rPr>
            </w:pPr>
            <w:r>
              <w:rPr>
                <w:rFonts w:hint="eastAsia" w:ascii="宋体" w:hAnsi="宋体" w:eastAsia="宋体" w:cs="宋体"/>
                <w:b w:val="0"/>
                <w:sz w:val="18"/>
              </w:rPr>
              <w:t>67.8%</w:t>
            </w:r>
          </w:p>
        </w:tc>
        <w:tc>
          <w:tcPr>
            <w:tcW w:w="860" w:type="dxa"/>
          </w:tcPr>
          <w:p w14:paraId="4E2C8D78">
            <w:pPr>
              <w:spacing w:after="0" w:line="240" w:lineRule="auto"/>
              <w:rPr>
                <w:rFonts w:hint="eastAsia" w:ascii="宋体" w:hAnsi="宋体" w:eastAsia="宋体" w:cs="宋体"/>
              </w:rPr>
            </w:pPr>
            <w:r>
              <w:rPr>
                <w:rFonts w:hint="eastAsia" w:ascii="宋体" w:hAnsi="宋体" w:eastAsia="宋体" w:cs="宋体"/>
                <w:b w:val="0"/>
                <w:sz w:val="18"/>
              </w:rPr>
              <w:t>0.120</w:t>
            </w:r>
          </w:p>
        </w:tc>
        <w:tc>
          <w:tcPr>
            <w:tcW w:w="743" w:type="dxa"/>
          </w:tcPr>
          <w:p w14:paraId="7E06FC42">
            <w:pPr>
              <w:spacing w:after="0" w:line="240" w:lineRule="auto"/>
              <w:rPr>
                <w:rFonts w:hint="eastAsia" w:ascii="宋体" w:hAnsi="宋体" w:eastAsia="宋体" w:cs="宋体"/>
              </w:rPr>
            </w:pPr>
            <w:r>
              <w:rPr>
                <w:rFonts w:hint="eastAsia" w:ascii="宋体" w:hAnsi="宋体" w:eastAsia="宋体" w:cs="宋体"/>
                <w:b w:val="0"/>
                <w:sz w:val="18"/>
              </w:rPr>
              <w:t>614</w:t>
            </w:r>
          </w:p>
        </w:tc>
      </w:tr>
      <w:tr w14:paraId="2DD7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2F74B797">
            <w:pPr>
              <w:spacing w:after="0" w:line="240" w:lineRule="auto"/>
              <w:rPr>
                <w:rFonts w:hint="eastAsia" w:ascii="宋体" w:hAnsi="宋体" w:eastAsia="宋体" w:cs="宋体"/>
              </w:rPr>
            </w:pPr>
            <w:r>
              <w:rPr>
                <w:rFonts w:hint="eastAsia" w:ascii="宋体" w:hAnsi="宋体" w:eastAsia="宋体" w:cs="宋体"/>
                <w:b w:val="0"/>
                <w:sz w:val="18"/>
              </w:rPr>
              <w:t>TN3K 外部（完整队列）</w:t>
            </w:r>
            <w:r>
              <w:rPr>
                <w:rFonts w:hint="eastAsia" w:ascii="宋体" w:hAnsi="宋体" w:eastAsia="宋体" w:cs="宋体"/>
                <w:sz w:val="18"/>
                <w:vertAlign w:val="superscript"/>
              </w:rPr>
              <w:t>a</w:t>
            </w:r>
          </w:p>
        </w:tc>
        <w:tc>
          <w:tcPr>
            <w:tcW w:w="2200" w:type="dxa"/>
          </w:tcPr>
          <w:p w14:paraId="77D78FBD">
            <w:pPr>
              <w:spacing w:after="0" w:line="240" w:lineRule="auto"/>
              <w:rPr>
                <w:rFonts w:hint="eastAsia" w:ascii="宋体" w:hAnsi="宋体" w:eastAsia="宋体" w:cs="宋体"/>
              </w:rPr>
            </w:pPr>
            <w:r>
              <w:rPr>
                <w:rFonts w:hint="eastAsia" w:ascii="宋体" w:hAnsi="宋体" w:eastAsia="宋体" w:cs="宋体"/>
                <w:b w:val="0"/>
                <w:sz w:val="18"/>
              </w:rPr>
              <w:t>0.713（0.696–0.731）</w:t>
            </w:r>
          </w:p>
        </w:tc>
        <w:tc>
          <w:tcPr>
            <w:tcW w:w="1050" w:type="dxa"/>
          </w:tcPr>
          <w:p w14:paraId="043CF0D6">
            <w:pPr>
              <w:spacing w:after="0" w:line="240" w:lineRule="auto"/>
              <w:rPr>
                <w:rFonts w:hint="eastAsia" w:ascii="宋体" w:hAnsi="宋体" w:eastAsia="宋体" w:cs="宋体"/>
              </w:rPr>
            </w:pPr>
            <w:r>
              <w:rPr>
                <w:rFonts w:hint="eastAsia" w:ascii="宋体" w:hAnsi="宋体" w:eastAsia="宋体" w:cs="宋体"/>
                <w:b w:val="0"/>
                <w:sz w:val="18"/>
              </w:rPr>
              <w:t>58.3%</w:t>
            </w:r>
          </w:p>
        </w:tc>
        <w:tc>
          <w:tcPr>
            <w:tcW w:w="900" w:type="dxa"/>
          </w:tcPr>
          <w:p w14:paraId="1254258E">
            <w:pPr>
              <w:spacing w:after="0" w:line="240" w:lineRule="auto"/>
              <w:rPr>
                <w:rFonts w:hint="eastAsia" w:ascii="宋体" w:hAnsi="宋体" w:eastAsia="宋体" w:cs="宋体"/>
              </w:rPr>
            </w:pPr>
            <w:r>
              <w:rPr>
                <w:rFonts w:hint="eastAsia" w:ascii="宋体" w:hAnsi="宋体" w:eastAsia="宋体" w:cs="宋体"/>
                <w:b w:val="0"/>
                <w:sz w:val="18"/>
              </w:rPr>
              <w:t>72.7%</w:t>
            </w:r>
          </w:p>
        </w:tc>
        <w:tc>
          <w:tcPr>
            <w:tcW w:w="760" w:type="dxa"/>
          </w:tcPr>
          <w:p w14:paraId="2D76BC04">
            <w:pPr>
              <w:spacing w:after="0" w:line="240" w:lineRule="auto"/>
              <w:rPr>
                <w:rFonts w:hint="eastAsia" w:ascii="宋体" w:hAnsi="宋体" w:eastAsia="宋体" w:cs="宋体"/>
              </w:rPr>
            </w:pPr>
            <w:r>
              <w:rPr>
                <w:rFonts w:hint="eastAsia" w:ascii="宋体" w:hAnsi="宋体" w:eastAsia="宋体" w:cs="宋体"/>
                <w:b w:val="0"/>
                <w:sz w:val="18"/>
              </w:rPr>
              <w:t>67.7%</w:t>
            </w:r>
          </w:p>
        </w:tc>
        <w:tc>
          <w:tcPr>
            <w:tcW w:w="860" w:type="dxa"/>
          </w:tcPr>
          <w:p w14:paraId="1E9AAE56">
            <w:pPr>
              <w:spacing w:after="0" w:line="240" w:lineRule="auto"/>
              <w:rPr>
                <w:rFonts w:hint="eastAsia" w:ascii="宋体" w:hAnsi="宋体" w:eastAsia="宋体" w:cs="宋体"/>
              </w:rPr>
            </w:pPr>
            <w:r>
              <w:rPr>
                <w:rFonts w:hint="eastAsia" w:ascii="宋体" w:hAnsi="宋体" w:eastAsia="宋体" w:cs="宋体"/>
                <w:b w:val="0"/>
                <w:sz w:val="18"/>
              </w:rPr>
              <w:t>0.136</w:t>
            </w:r>
          </w:p>
        </w:tc>
        <w:tc>
          <w:tcPr>
            <w:tcW w:w="743" w:type="dxa"/>
          </w:tcPr>
          <w:p w14:paraId="7C3CD46C">
            <w:pPr>
              <w:spacing w:after="0" w:line="240" w:lineRule="auto"/>
              <w:rPr>
                <w:rFonts w:hint="eastAsia" w:ascii="宋体" w:hAnsi="宋体" w:eastAsia="宋体" w:cs="宋体"/>
              </w:rPr>
            </w:pPr>
            <w:r>
              <w:rPr>
                <w:rFonts w:hint="eastAsia" w:ascii="宋体" w:hAnsi="宋体" w:eastAsia="宋体" w:cs="宋体"/>
                <w:b w:val="0"/>
                <w:sz w:val="18"/>
              </w:rPr>
              <w:t>3,493</w:t>
            </w:r>
          </w:p>
        </w:tc>
      </w:tr>
      <w:tr w14:paraId="0B9F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5B626D66">
            <w:pPr>
              <w:spacing w:after="0" w:line="240" w:lineRule="auto"/>
              <w:rPr>
                <w:rFonts w:hint="eastAsia" w:ascii="宋体" w:hAnsi="宋体" w:eastAsia="宋体" w:cs="宋体"/>
              </w:rPr>
            </w:pPr>
            <w:r>
              <w:rPr>
                <w:rFonts w:hint="eastAsia" w:ascii="宋体" w:hAnsi="宋体" w:eastAsia="宋体" w:cs="宋体"/>
                <w:b w:val="0"/>
                <w:sz w:val="18"/>
              </w:rPr>
              <w:t>Thy-Wise 外部（结节级平均）</w:t>
            </w:r>
          </w:p>
        </w:tc>
        <w:tc>
          <w:tcPr>
            <w:tcW w:w="2200" w:type="dxa"/>
          </w:tcPr>
          <w:p w14:paraId="74D74447">
            <w:pPr>
              <w:spacing w:after="0" w:line="240" w:lineRule="auto"/>
              <w:rPr>
                <w:rFonts w:hint="eastAsia" w:ascii="宋体" w:hAnsi="宋体" w:eastAsia="宋体" w:cs="宋体"/>
              </w:rPr>
            </w:pPr>
            <w:r>
              <w:rPr>
                <w:rFonts w:hint="eastAsia" w:ascii="宋体" w:hAnsi="宋体" w:eastAsia="宋体" w:cs="宋体"/>
                <w:b w:val="0"/>
                <w:sz w:val="18"/>
              </w:rPr>
              <w:t>0.608（0.589–0.628）</w:t>
            </w:r>
          </w:p>
        </w:tc>
        <w:tc>
          <w:tcPr>
            <w:tcW w:w="1050" w:type="dxa"/>
          </w:tcPr>
          <w:p w14:paraId="2C74DA59">
            <w:pPr>
              <w:spacing w:after="0" w:line="240" w:lineRule="auto"/>
              <w:rPr>
                <w:rFonts w:hint="eastAsia" w:ascii="宋体" w:hAnsi="宋体" w:eastAsia="宋体" w:cs="宋体"/>
              </w:rPr>
            </w:pPr>
            <w:r>
              <w:rPr>
                <w:rFonts w:hint="eastAsia" w:ascii="宋体" w:hAnsi="宋体" w:eastAsia="宋体" w:cs="宋体"/>
                <w:b w:val="0"/>
                <w:sz w:val="18"/>
              </w:rPr>
              <w:t>18.6%</w:t>
            </w:r>
          </w:p>
        </w:tc>
        <w:tc>
          <w:tcPr>
            <w:tcW w:w="900" w:type="dxa"/>
          </w:tcPr>
          <w:p w14:paraId="7BA229B5">
            <w:pPr>
              <w:spacing w:after="0" w:line="240" w:lineRule="auto"/>
              <w:rPr>
                <w:rFonts w:hint="eastAsia" w:ascii="宋体" w:hAnsi="宋体" w:eastAsia="宋体" w:cs="宋体"/>
              </w:rPr>
            </w:pPr>
            <w:r>
              <w:rPr>
                <w:rFonts w:hint="eastAsia" w:ascii="宋体" w:hAnsi="宋体" w:eastAsia="宋体" w:cs="宋体"/>
                <w:b w:val="0"/>
                <w:sz w:val="18"/>
              </w:rPr>
              <w:t>90.0%</w:t>
            </w:r>
          </w:p>
        </w:tc>
        <w:tc>
          <w:tcPr>
            <w:tcW w:w="760" w:type="dxa"/>
          </w:tcPr>
          <w:p w14:paraId="36EAED7E">
            <w:pPr>
              <w:spacing w:after="0" w:line="240" w:lineRule="auto"/>
              <w:rPr>
                <w:rFonts w:hint="eastAsia" w:ascii="宋体" w:hAnsi="宋体" w:eastAsia="宋体" w:cs="宋体"/>
              </w:rPr>
            </w:pPr>
            <w:r>
              <w:rPr>
                <w:rFonts w:hint="eastAsia" w:ascii="宋体" w:hAnsi="宋体" w:eastAsia="宋体" w:cs="宋体"/>
                <w:b w:val="0"/>
                <w:sz w:val="18"/>
              </w:rPr>
              <w:t>70.5%</w:t>
            </w:r>
          </w:p>
        </w:tc>
        <w:tc>
          <w:tcPr>
            <w:tcW w:w="860" w:type="dxa"/>
          </w:tcPr>
          <w:p w14:paraId="7F3F8ACB">
            <w:pPr>
              <w:spacing w:after="0" w:line="240" w:lineRule="auto"/>
              <w:rPr>
                <w:rFonts w:hint="eastAsia" w:ascii="宋体" w:hAnsi="宋体" w:eastAsia="宋体" w:cs="宋体"/>
              </w:rPr>
            </w:pPr>
            <w:r>
              <w:rPr>
                <w:rFonts w:hint="eastAsia" w:ascii="宋体" w:hAnsi="宋体" w:eastAsia="宋体" w:cs="宋体"/>
                <w:b w:val="0"/>
                <w:sz w:val="18"/>
              </w:rPr>
              <w:t>0.057</w:t>
            </w:r>
          </w:p>
        </w:tc>
        <w:tc>
          <w:tcPr>
            <w:tcW w:w="743" w:type="dxa"/>
          </w:tcPr>
          <w:p w14:paraId="441D85B1">
            <w:pPr>
              <w:spacing w:after="0" w:line="240" w:lineRule="auto"/>
              <w:rPr>
                <w:rFonts w:hint="eastAsia" w:ascii="宋体" w:hAnsi="宋体" w:eastAsia="宋体" w:cs="宋体"/>
              </w:rPr>
            </w:pPr>
            <w:r>
              <w:rPr>
                <w:rFonts w:hint="eastAsia" w:ascii="宋体" w:hAnsi="宋体" w:eastAsia="宋体" w:cs="宋体"/>
                <w:b w:val="0"/>
                <w:sz w:val="18"/>
              </w:rPr>
              <w:t>3,954</w:t>
            </w:r>
          </w:p>
        </w:tc>
      </w:tr>
      <w:tr w14:paraId="76AF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2AC6145B">
            <w:pPr>
              <w:spacing w:after="0" w:line="240" w:lineRule="auto"/>
              <w:rPr>
                <w:rFonts w:hint="eastAsia" w:ascii="宋体" w:hAnsi="宋体" w:eastAsia="宋体" w:cs="宋体"/>
              </w:rPr>
            </w:pPr>
            <w:r>
              <w:rPr>
                <w:rFonts w:hint="eastAsia" w:ascii="宋体" w:hAnsi="宋体" w:eastAsia="宋体" w:cs="宋体"/>
                <w:b/>
                <w:sz w:val="18"/>
              </w:rPr>
              <w:t>联合（TN5000 + TN3K 训练，纯图像）</w:t>
            </w:r>
          </w:p>
        </w:tc>
        <w:tc>
          <w:tcPr>
            <w:tcW w:w="2200" w:type="dxa"/>
          </w:tcPr>
          <w:p w14:paraId="3FAB9582">
            <w:pPr>
              <w:spacing w:after="0" w:line="240" w:lineRule="auto"/>
              <w:rPr>
                <w:rFonts w:hint="eastAsia" w:ascii="宋体" w:hAnsi="宋体" w:eastAsia="宋体" w:cs="宋体"/>
              </w:rPr>
            </w:pPr>
          </w:p>
        </w:tc>
        <w:tc>
          <w:tcPr>
            <w:tcW w:w="1050" w:type="dxa"/>
          </w:tcPr>
          <w:p w14:paraId="7BFAB592">
            <w:pPr>
              <w:spacing w:after="0" w:line="240" w:lineRule="auto"/>
              <w:rPr>
                <w:rFonts w:hint="eastAsia" w:ascii="宋体" w:hAnsi="宋体" w:eastAsia="宋体" w:cs="宋体"/>
              </w:rPr>
            </w:pPr>
          </w:p>
        </w:tc>
        <w:tc>
          <w:tcPr>
            <w:tcW w:w="900" w:type="dxa"/>
          </w:tcPr>
          <w:p w14:paraId="22930C1C">
            <w:pPr>
              <w:spacing w:after="0" w:line="240" w:lineRule="auto"/>
              <w:rPr>
                <w:rFonts w:hint="eastAsia" w:ascii="宋体" w:hAnsi="宋体" w:eastAsia="宋体" w:cs="宋体"/>
              </w:rPr>
            </w:pPr>
          </w:p>
        </w:tc>
        <w:tc>
          <w:tcPr>
            <w:tcW w:w="760" w:type="dxa"/>
          </w:tcPr>
          <w:p w14:paraId="583A9807">
            <w:pPr>
              <w:spacing w:after="0" w:line="240" w:lineRule="auto"/>
              <w:rPr>
                <w:rFonts w:hint="eastAsia" w:ascii="宋体" w:hAnsi="宋体" w:eastAsia="宋体" w:cs="宋体"/>
              </w:rPr>
            </w:pPr>
          </w:p>
        </w:tc>
        <w:tc>
          <w:tcPr>
            <w:tcW w:w="860" w:type="dxa"/>
          </w:tcPr>
          <w:p w14:paraId="3AE1E063">
            <w:pPr>
              <w:spacing w:after="0" w:line="240" w:lineRule="auto"/>
              <w:rPr>
                <w:rFonts w:hint="eastAsia" w:ascii="宋体" w:hAnsi="宋体" w:eastAsia="宋体" w:cs="宋体"/>
              </w:rPr>
            </w:pPr>
          </w:p>
        </w:tc>
        <w:tc>
          <w:tcPr>
            <w:tcW w:w="743" w:type="dxa"/>
          </w:tcPr>
          <w:p w14:paraId="3E6DBE81">
            <w:pPr>
              <w:spacing w:after="0" w:line="240" w:lineRule="auto"/>
              <w:rPr>
                <w:rFonts w:hint="eastAsia" w:ascii="宋体" w:hAnsi="宋体" w:eastAsia="宋体" w:cs="宋体"/>
              </w:rPr>
            </w:pPr>
          </w:p>
        </w:tc>
      </w:tr>
      <w:tr w14:paraId="585D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3B4CB739">
            <w:pPr>
              <w:spacing w:after="0" w:line="240" w:lineRule="auto"/>
              <w:rPr>
                <w:rFonts w:hint="eastAsia" w:ascii="宋体" w:hAnsi="宋体" w:eastAsia="宋体" w:cs="宋体"/>
              </w:rPr>
            </w:pPr>
            <w:r>
              <w:rPr>
                <w:rFonts w:hint="eastAsia" w:ascii="宋体" w:hAnsi="宋体" w:eastAsia="宋体" w:cs="宋体"/>
                <w:b w:val="0"/>
                <w:sz w:val="18"/>
              </w:rPr>
              <w:t>TN5000 内部测试</w:t>
            </w:r>
          </w:p>
        </w:tc>
        <w:tc>
          <w:tcPr>
            <w:tcW w:w="2200" w:type="dxa"/>
          </w:tcPr>
          <w:p w14:paraId="120916A4">
            <w:pPr>
              <w:spacing w:after="0" w:line="240" w:lineRule="auto"/>
              <w:rPr>
                <w:rFonts w:hint="eastAsia" w:ascii="宋体" w:hAnsi="宋体" w:eastAsia="宋体" w:cs="宋体"/>
              </w:rPr>
            </w:pPr>
            <w:r>
              <w:rPr>
                <w:rFonts w:hint="eastAsia" w:ascii="宋体" w:hAnsi="宋体" w:eastAsia="宋体" w:cs="宋体"/>
                <w:b w:val="0"/>
                <w:sz w:val="18"/>
              </w:rPr>
              <w:t>0.931（0.910–0.951）</w:t>
            </w:r>
          </w:p>
        </w:tc>
        <w:tc>
          <w:tcPr>
            <w:tcW w:w="1050" w:type="dxa"/>
          </w:tcPr>
          <w:p w14:paraId="29F442D6">
            <w:pPr>
              <w:spacing w:after="0" w:line="240" w:lineRule="auto"/>
              <w:rPr>
                <w:rFonts w:hint="eastAsia" w:ascii="宋体" w:hAnsi="宋体" w:eastAsia="宋体" w:cs="宋体"/>
              </w:rPr>
            </w:pPr>
            <w:r>
              <w:rPr>
                <w:rFonts w:hint="eastAsia" w:ascii="宋体" w:hAnsi="宋体" w:eastAsia="宋体" w:cs="宋体"/>
                <w:b w:val="0"/>
                <w:sz w:val="18"/>
              </w:rPr>
              <w:t>94.8%</w:t>
            </w:r>
          </w:p>
        </w:tc>
        <w:tc>
          <w:tcPr>
            <w:tcW w:w="900" w:type="dxa"/>
          </w:tcPr>
          <w:p w14:paraId="36FD48BB">
            <w:pPr>
              <w:spacing w:after="0" w:line="240" w:lineRule="auto"/>
              <w:rPr>
                <w:rFonts w:hint="eastAsia" w:ascii="宋体" w:hAnsi="宋体" w:eastAsia="宋体" w:cs="宋体"/>
              </w:rPr>
            </w:pPr>
            <w:r>
              <w:rPr>
                <w:rFonts w:hint="eastAsia" w:ascii="宋体" w:hAnsi="宋体" w:eastAsia="宋体" w:cs="宋体"/>
                <w:b w:val="0"/>
                <w:sz w:val="18"/>
              </w:rPr>
              <w:t>75.7%</w:t>
            </w:r>
          </w:p>
        </w:tc>
        <w:tc>
          <w:tcPr>
            <w:tcW w:w="760" w:type="dxa"/>
          </w:tcPr>
          <w:p w14:paraId="4C17256B">
            <w:pPr>
              <w:spacing w:after="0" w:line="240" w:lineRule="auto"/>
              <w:rPr>
                <w:rFonts w:hint="eastAsia" w:ascii="宋体" w:hAnsi="宋体" w:eastAsia="宋体" w:cs="宋体"/>
              </w:rPr>
            </w:pPr>
            <w:r>
              <w:rPr>
                <w:rFonts w:hint="eastAsia" w:ascii="宋体" w:hAnsi="宋体" w:eastAsia="宋体" w:cs="宋体"/>
                <w:b w:val="0"/>
                <w:sz w:val="18"/>
              </w:rPr>
              <w:t>89.5%</w:t>
            </w:r>
          </w:p>
        </w:tc>
        <w:tc>
          <w:tcPr>
            <w:tcW w:w="860" w:type="dxa"/>
          </w:tcPr>
          <w:p w14:paraId="5F734B64">
            <w:pPr>
              <w:spacing w:after="0" w:line="240" w:lineRule="auto"/>
              <w:rPr>
                <w:rFonts w:hint="eastAsia" w:ascii="宋体" w:hAnsi="宋体" w:eastAsia="宋体" w:cs="宋体"/>
              </w:rPr>
            </w:pPr>
            <w:r>
              <w:rPr>
                <w:rFonts w:hint="eastAsia" w:ascii="宋体" w:hAnsi="宋体" w:eastAsia="宋体" w:cs="宋体"/>
                <w:b w:val="0"/>
                <w:sz w:val="18"/>
              </w:rPr>
              <w:t>0.020</w:t>
            </w:r>
          </w:p>
        </w:tc>
        <w:tc>
          <w:tcPr>
            <w:tcW w:w="743" w:type="dxa"/>
          </w:tcPr>
          <w:p w14:paraId="15DBBB7B">
            <w:pPr>
              <w:spacing w:after="0" w:line="240" w:lineRule="auto"/>
              <w:rPr>
                <w:rFonts w:hint="eastAsia" w:ascii="宋体" w:hAnsi="宋体" w:eastAsia="宋体" w:cs="宋体"/>
              </w:rPr>
            </w:pPr>
            <w:r>
              <w:rPr>
                <w:rFonts w:hint="eastAsia" w:ascii="宋体" w:hAnsi="宋体" w:eastAsia="宋体" w:cs="宋体"/>
                <w:b w:val="0"/>
                <w:sz w:val="18"/>
              </w:rPr>
              <w:t>750</w:t>
            </w:r>
          </w:p>
        </w:tc>
      </w:tr>
      <w:tr w14:paraId="48FD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0C8B72AA">
            <w:pPr>
              <w:spacing w:after="0" w:line="240" w:lineRule="auto"/>
              <w:rPr>
                <w:rFonts w:hint="eastAsia" w:ascii="宋体" w:hAnsi="宋体" w:eastAsia="宋体" w:cs="宋体"/>
              </w:rPr>
            </w:pPr>
            <w:r>
              <w:rPr>
                <w:rFonts w:hint="eastAsia" w:ascii="宋体" w:hAnsi="宋体" w:eastAsia="宋体" w:cs="宋体"/>
                <w:b w:val="0"/>
                <w:sz w:val="18"/>
              </w:rPr>
              <w:t>TN3K 外部（官方测试）</w:t>
            </w:r>
          </w:p>
        </w:tc>
        <w:tc>
          <w:tcPr>
            <w:tcW w:w="2200" w:type="dxa"/>
          </w:tcPr>
          <w:p w14:paraId="10107BA8">
            <w:pPr>
              <w:spacing w:after="0" w:line="240" w:lineRule="auto"/>
              <w:rPr>
                <w:rFonts w:hint="eastAsia" w:ascii="宋体" w:hAnsi="宋体" w:eastAsia="宋体" w:cs="宋体"/>
              </w:rPr>
            </w:pPr>
            <w:r>
              <w:rPr>
                <w:rFonts w:hint="eastAsia" w:ascii="宋体" w:hAnsi="宋体" w:eastAsia="宋体" w:cs="宋体"/>
                <w:b w:val="0"/>
                <w:sz w:val="18"/>
              </w:rPr>
              <w:t>0.814（0.779–0.846）</w:t>
            </w:r>
          </w:p>
        </w:tc>
        <w:tc>
          <w:tcPr>
            <w:tcW w:w="1050" w:type="dxa"/>
          </w:tcPr>
          <w:p w14:paraId="44FA4A26">
            <w:pPr>
              <w:spacing w:after="0" w:line="240" w:lineRule="auto"/>
              <w:rPr>
                <w:rFonts w:hint="eastAsia" w:ascii="宋体" w:hAnsi="宋体" w:eastAsia="宋体" w:cs="宋体"/>
              </w:rPr>
            </w:pPr>
            <w:r>
              <w:rPr>
                <w:rFonts w:hint="eastAsia" w:ascii="宋体" w:hAnsi="宋体" w:eastAsia="宋体" w:cs="宋体"/>
                <w:b w:val="0"/>
                <w:sz w:val="18"/>
              </w:rPr>
              <w:t>67.4%</w:t>
            </w:r>
          </w:p>
        </w:tc>
        <w:tc>
          <w:tcPr>
            <w:tcW w:w="900" w:type="dxa"/>
          </w:tcPr>
          <w:p w14:paraId="1C4894C5">
            <w:pPr>
              <w:spacing w:after="0" w:line="240" w:lineRule="auto"/>
              <w:rPr>
                <w:rFonts w:hint="eastAsia" w:ascii="宋体" w:hAnsi="宋体" w:eastAsia="宋体" w:cs="宋体"/>
              </w:rPr>
            </w:pPr>
            <w:r>
              <w:rPr>
                <w:rFonts w:hint="eastAsia" w:ascii="宋体" w:hAnsi="宋体" w:eastAsia="宋体" w:cs="宋体"/>
                <w:b w:val="0"/>
                <w:sz w:val="18"/>
              </w:rPr>
              <w:t>78.8%</w:t>
            </w:r>
          </w:p>
        </w:tc>
        <w:tc>
          <w:tcPr>
            <w:tcW w:w="760" w:type="dxa"/>
          </w:tcPr>
          <w:p w14:paraId="3EB0EDBD">
            <w:pPr>
              <w:spacing w:after="0" w:line="240" w:lineRule="auto"/>
              <w:rPr>
                <w:rFonts w:hint="eastAsia" w:ascii="宋体" w:hAnsi="宋体" w:eastAsia="宋体" w:cs="宋体"/>
              </w:rPr>
            </w:pPr>
            <w:r>
              <w:rPr>
                <w:rFonts w:hint="eastAsia" w:ascii="宋体" w:hAnsi="宋体" w:eastAsia="宋体" w:cs="宋体"/>
                <w:b w:val="0"/>
                <w:sz w:val="18"/>
              </w:rPr>
              <w:t>74.4%</w:t>
            </w:r>
          </w:p>
        </w:tc>
        <w:tc>
          <w:tcPr>
            <w:tcW w:w="860" w:type="dxa"/>
          </w:tcPr>
          <w:p w14:paraId="10738E03">
            <w:pPr>
              <w:spacing w:after="0" w:line="240" w:lineRule="auto"/>
              <w:rPr>
                <w:rFonts w:hint="eastAsia" w:ascii="宋体" w:hAnsi="宋体" w:eastAsia="宋体" w:cs="宋体"/>
              </w:rPr>
            </w:pPr>
            <w:r>
              <w:rPr>
                <w:rFonts w:hint="eastAsia" w:ascii="宋体" w:hAnsi="宋体" w:eastAsia="宋体" w:cs="宋体"/>
                <w:b w:val="0"/>
                <w:sz w:val="18"/>
              </w:rPr>
              <w:t>0.051</w:t>
            </w:r>
          </w:p>
        </w:tc>
        <w:tc>
          <w:tcPr>
            <w:tcW w:w="743" w:type="dxa"/>
          </w:tcPr>
          <w:p w14:paraId="4BD090F5">
            <w:pPr>
              <w:spacing w:after="0" w:line="240" w:lineRule="auto"/>
              <w:rPr>
                <w:rFonts w:hint="eastAsia" w:ascii="宋体" w:hAnsi="宋体" w:eastAsia="宋体" w:cs="宋体"/>
              </w:rPr>
            </w:pPr>
            <w:r>
              <w:rPr>
                <w:rFonts w:hint="eastAsia" w:ascii="宋体" w:hAnsi="宋体" w:eastAsia="宋体" w:cs="宋体"/>
                <w:b w:val="0"/>
                <w:sz w:val="18"/>
              </w:rPr>
              <w:t>614</w:t>
            </w:r>
          </w:p>
        </w:tc>
      </w:tr>
      <w:tr w14:paraId="48E8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721A5A58">
            <w:pPr>
              <w:spacing w:after="0" w:line="240" w:lineRule="auto"/>
              <w:rPr>
                <w:rFonts w:hint="eastAsia" w:ascii="宋体" w:hAnsi="宋体" w:eastAsia="宋体" w:cs="宋体"/>
              </w:rPr>
            </w:pPr>
            <w:r>
              <w:rPr>
                <w:rFonts w:hint="eastAsia" w:ascii="宋体" w:hAnsi="宋体" w:eastAsia="宋体" w:cs="宋体"/>
                <w:b w:val="0"/>
                <w:sz w:val="18"/>
              </w:rPr>
              <w:t>Thy-Wise 外部（结节级平均）</w:t>
            </w:r>
          </w:p>
        </w:tc>
        <w:tc>
          <w:tcPr>
            <w:tcW w:w="2200" w:type="dxa"/>
          </w:tcPr>
          <w:p w14:paraId="462EB19D">
            <w:pPr>
              <w:spacing w:after="0" w:line="240" w:lineRule="auto"/>
              <w:rPr>
                <w:rFonts w:hint="eastAsia" w:ascii="宋体" w:hAnsi="宋体" w:eastAsia="宋体" w:cs="宋体"/>
              </w:rPr>
            </w:pPr>
            <w:r>
              <w:rPr>
                <w:rFonts w:hint="eastAsia" w:ascii="宋体" w:hAnsi="宋体" w:eastAsia="宋体" w:cs="宋体"/>
                <w:b w:val="0"/>
                <w:sz w:val="18"/>
              </w:rPr>
              <w:t>0.710（0.693–0.727）</w:t>
            </w:r>
          </w:p>
        </w:tc>
        <w:tc>
          <w:tcPr>
            <w:tcW w:w="1050" w:type="dxa"/>
          </w:tcPr>
          <w:p w14:paraId="2481750B">
            <w:pPr>
              <w:spacing w:after="0" w:line="240" w:lineRule="auto"/>
              <w:rPr>
                <w:rFonts w:hint="eastAsia" w:ascii="宋体" w:hAnsi="宋体" w:eastAsia="宋体" w:cs="宋体"/>
              </w:rPr>
            </w:pPr>
            <w:r>
              <w:rPr>
                <w:rFonts w:hint="eastAsia" w:ascii="宋体" w:hAnsi="宋体" w:eastAsia="宋体" w:cs="宋体"/>
                <w:b w:val="0"/>
                <w:sz w:val="18"/>
              </w:rPr>
              <w:t>25.7%</w:t>
            </w:r>
          </w:p>
        </w:tc>
        <w:tc>
          <w:tcPr>
            <w:tcW w:w="900" w:type="dxa"/>
          </w:tcPr>
          <w:p w14:paraId="7FACA27C">
            <w:pPr>
              <w:spacing w:after="0" w:line="240" w:lineRule="auto"/>
              <w:rPr>
                <w:rFonts w:hint="eastAsia" w:ascii="宋体" w:hAnsi="宋体" w:eastAsia="宋体" w:cs="宋体"/>
              </w:rPr>
            </w:pPr>
            <w:r>
              <w:rPr>
                <w:rFonts w:hint="eastAsia" w:ascii="宋体" w:hAnsi="宋体" w:eastAsia="宋体" w:cs="宋体"/>
                <w:b w:val="0"/>
                <w:sz w:val="18"/>
              </w:rPr>
              <w:t>90.4%</w:t>
            </w:r>
          </w:p>
        </w:tc>
        <w:tc>
          <w:tcPr>
            <w:tcW w:w="760" w:type="dxa"/>
          </w:tcPr>
          <w:p w14:paraId="1017AD16">
            <w:pPr>
              <w:spacing w:after="0" w:line="240" w:lineRule="auto"/>
              <w:rPr>
                <w:rFonts w:hint="eastAsia" w:ascii="宋体" w:hAnsi="宋体" w:eastAsia="宋体" w:cs="宋体"/>
              </w:rPr>
            </w:pPr>
            <w:r>
              <w:rPr>
                <w:rFonts w:hint="eastAsia" w:ascii="宋体" w:hAnsi="宋体" w:eastAsia="宋体" w:cs="宋体"/>
                <w:b w:val="0"/>
                <w:sz w:val="18"/>
              </w:rPr>
              <w:t>72.7%</w:t>
            </w:r>
          </w:p>
        </w:tc>
        <w:tc>
          <w:tcPr>
            <w:tcW w:w="860" w:type="dxa"/>
          </w:tcPr>
          <w:p w14:paraId="72E79738">
            <w:pPr>
              <w:spacing w:after="0" w:line="240" w:lineRule="auto"/>
              <w:rPr>
                <w:rFonts w:hint="eastAsia" w:ascii="宋体" w:hAnsi="宋体" w:eastAsia="宋体" w:cs="宋体"/>
              </w:rPr>
            </w:pPr>
            <w:r>
              <w:rPr>
                <w:rFonts w:hint="eastAsia" w:ascii="宋体" w:hAnsi="宋体" w:eastAsia="宋体" w:cs="宋体"/>
                <w:b w:val="0"/>
                <w:sz w:val="18"/>
              </w:rPr>
              <w:t>0.057</w:t>
            </w:r>
          </w:p>
        </w:tc>
        <w:tc>
          <w:tcPr>
            <w:tcW w:w="743" w:type="dxa"/>
          </w:tcPr>
          <w:p w14:paraId="3042C12A">
            <w:pPr>
              <w:spacing w:after="0" w:line="240" w:lineRule="auto"/>
              <w:rPr>
                <w:rFonts w:hint="eastAsia" w:ascii="宋体" w:hAnsi="宋体" w:eastAsia="宋体" w:cs="宋体"/>
              </w:rPr>
            </w:pPr>
            <w:r>
              <w:rPr>
                <w:rFonts w:hint="eastAsia" w:ascii="宋体" w:hAnsi="宋体" w:eastAsia="宋体" w:cs="宋体"/>
                <w:b w:val="0"/>
                <w:sz w:val="18"/>
              </w:rPr>
              <w:t>3,954</w:t>
            </w:r>
          </w:p>
        </w:tc>
      </w:tr>
      <w:tr w14:paraId="1C9C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3ED22C7B">
            <w:pPr>
              <w:spacing w:after="0" w:line="240" w:lineRule="auto"/>
              <w:rPr>
                <w:rFonts w:hint="eastAsia" w:ascii="宋体" w:hAnsi="宋体" w:eastAsia="宋体" w:cs="宋体"/>
              </w:rPr>
            </w:pPr>
            <w:r>
              <w:rPr>
                <w:rFonts w:hint="eastAsia" w:ascii="宋体" w:hAnsi="宋体" w:eastAsia="宋体" w:cs="宋体"/>
                <w:b/>
                <w:sz w:val="18"/>
              </w:rPr>
              <w:t>Δ（联合 − 仅 TN5000，官方测试）</w:t>
            </w:r>
          </w:p>
        </w:tc>
        <w:tc>
          <w:tcPr>
            <w:tcW w:w="2200" w:type="dxa"/>
          </w:tcPr>
          <w:p w14:paraId="3D103A61">
            <w:pPr>
              <w:spacing w:after="0" w:line="240" w:lineRule="auto"/>
              <w:rPr>
                <w:rFonts w:hint="eastAsia" w:ascii="宋体" w:hAnsi="宋体" w:eastAsia="宋体" w:cs="宋体"/>
              </w:rPr>
            </w:pPr>
          </w:p>
        </w:tc>
        <w:tc>
          <w:tcPr>
            <w:tcW w:w="1050" w:type="dxa"/>
          </w:tcPr>
          <w:p w14:paraId="24382F07">
            <w:pPr>
              <w:spacing w:after="0" w:line="240" w:lineRule="auto"/>
              <w:rPr>
                <w:rFonts w:hint="eastAsia" w:ascii="宋体" w:hAnsi="宋体" w:eastAsia="宋体" w:cs="宋体"/>
              </w:rPr>
            </w:pPr>
          </w:p>
        </w:tc>
        <w:tc>
          <w:tcPr>
            <w:tcW w:w="900" w:type="dxa"/>
          </w:tcPr>
          <w:p w14:paraId="3744F36C">
            <w:pPr>
              <w:spacing w:after="0" w:line="240" w:lineRule="auto"/>
              <w:rPr>
                <w:rFonts w:hint="eastAsia" w:ascii="宋体" w:hAnsi="宋体" w:eastAsia="宋体" w:cs="宋体"/>
              </w:rPr>
            </w:pPr>
          </w:p>
        </w:tc>
        <w:tc>
          <w:tcPr>
            <w:tcW w:w="760" w:type="dxa"/>
          </w:tcPr>
          <w:p w14:paraId="30EF5E7E">
            <w:pPr>
              <w:spacing w:after="0" w:line="240" w:lineRule="auto"/>
              <w:rPr>
                <w:rFonts w:hint="eastAsia" w:ascii="宋体" w:hAnsi="宋体" w:eastAsia="宋体" w:cs="宋体"/>
              </w:rPr>
            </w:pPr>
          </w:p>
        </w:tc>
        <w:tc>
          <w:tcPr>
            <w:tcW w:w="860" w:type="dxa"/>
          </w:tcPr>
          <w:p w14:paraId="1AD9025D">
            <w:pPr>
              <w:spacing w:after="0" w:line="240" w:lineRule="auto"/>
              <w:rPr>
                <w:rFonts w:hint="eastAsia" w:ascii="宋体" w:hAnsi="宋体" w:eastAsia="宋体" w:cs="宋体"/>
              </w:rPr>
            </w:pPr>
          </w:p>
        </w:tc>
        <w:tc>
          <w:tcPr>
            <w:tcW w:w="743" w:type="dxa"/>
          </w:tcPr>
          <w:p w14:paraId="3C4C061C">
            <w:pPr>
              <w:spacing w:after="0" w:line="240" w:lineRule="auto"/>
              <w:rPr>
                <w:rFonts w:hint="eastAsia" w:ascii="宋体" w:hAnsi="宋体" w:eastAsia="宋体" w:cs="宋体"/>
              </w:rPr>
            </w:pPr>
          </w:p>
        </w:tc>
      </w:tr>
      <w:tr w14:paraId="7FB9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67DF5BAA">
            <w:pPr>
              <w:spacing w:after="0" w:line="240" w:lineRule="auto"/>
              <w:rPr>
                <w:rFonts w:hint="eastAsia" w:ascii="宋体" w:hAnsi="宋体" w:eastAsia="宋体" w:cs="宋体"/>
              </w:rPr>
            </w:pPr>
            <w:r>
              <w:rPr>
                <w:rFonts w:hint="eastAsia" w:ascii="宋体" w:hAnsi="宋体" w:eastAsia="宋体" w:cs="宋体"/>
                <w:b w:val="0"/>
                <w:sz w:val="18"/>
              </w:rPr>
              <w:t>TN5000 内部</w:t>
            </w:r>
          </w:p>
        </w:tc>
        <w:tc>
          <w:tcPr>
            <w:tcW w:w="2200" w:type="dxa"/>
          </w:tcPr>
          <w:p w14:paraId="5E8CEAF8">
            <w:pPr>
              <w:spacing w:after="0" w:line="240" w:lineRule="auto"/>
              <w:rPr>
                <w:rFonts w:hint="eastAsia" w:ascii="宋体" w:hAnsi="宋体" w:eastAsia="宋体" w:cs="宋体"/>
              </w:rPr>
            </w:pPr>
            <w:r>
              <w:rPr>
                <w:rFonts w:hint="eastAsia" w:ascii="宋体" w:hAnsi="宋体" w:eastAsia="宋体" w:cs="宋体"/>
                <w:b w:val="0"/>
                <w:sz w:val="18"/>
              </w:rPr>
              <w:t>+0.011</w:t>
            </w:r>
          </w:p>
        </w:tc>
        <w:tc>
          <w:tcPr>
            <w:tcW w:w="1050" w:type="dxa"/>
          </w:tcPr>
          <w:p w14:paraId="1792342E">
            <w:pPr>
              <w:spacing w:after="0" w:line="240" w:lineRule="auto"/>
              <w:rPr>
                <w:rFonts w:hint="eastAsia" w:ascii="宋体" w:hAnsi="宋体" w:eastAsia="宋体" w:cs="宋体"/>
              </w:rPr>
            </w:pPr>
            <w:r>
              <w:rPr>
                <w:rFonts w:hint="eastAsia" w:ascii="宋体" w:hAnsi="宋体" w:eastAsia="宋体" w:cs="宋体"/>
                <w:b w:val="0"/>
                <w:sz w:val="18"/>
              </w:rPr>
              <w:t>+3.7 个百分点</w:t>
            </w:r>
          </w:p>
        </w:tc>
        <w:tc>
          <w:tcPr>
            <w:tcW w:w="900" w:type="dxa"/>
          </w:tcPr>
          <w:p w14:paraId="3F8E70BD">
            <w:pPr>
              <w:spacing w:after="0" w:line="240" w:lineRule="auto"/>
              <w:rPr>
                <w:rFonts w:hint="eastAsia" w:ascii="宋体" w:hAnsi="宋体" w:eastAsia="宋体" w:cs="宋体"/>
              </w:rPr>
            </w:pPr>
            <w:r>
              <w:rPr>
                <w:rFonts w:hint="eastAsia" w:ascii="宋体" w:hAnsi="宋体" w:eastAsia="宋体" w:cs="宋体"/>
                <w:b w:val="0"/>
                <w:sz w:val="18"/>
              </w:rPr>
              <w:t>+3.3 个百分点</w:t>
            </w:r>
          </w:p>
        </w:tc>
        <w:tc>
          <w:tcPr>
            <w:tcW w:w="760" w:type="dxa"/>
          </w:tcPr>
          <w:p w14:paraId="7BFF51C2">
            <w:pPr>
              <w:spacing w:after="0" w:line="240" w:lineRule="auto"/>
              <w:rPr>
                <w:rFonts w:hint="eastAsia" w:ascii="宋体" w:hAnsi="宋体" w:eastAsia="宋体" w:cs="宋体"/>
              </w:rPr>
            </w:pPr>
            <w:r>
              <w:rPr>
                <w:rFonts w:hint="eastAsia" w:ascii="宋体" w:hAnsi="宋体" w:eastAsia="宋体" w:cs="宋体"/>
                <w:b w:val="0"/>
                <w:sz w:val="18"/>
              </w:rPr>
              <w:t>+3.6 个百分点</w:t>
            </w:r>
          </w:p>
        </w:tc>
        <w:tc>
          <w:tcPr>
            <w:tcW w:w="860" w:type="dxa"/>
          </w:tcPr>
          <w:p w14:paraId="18BAF101">
            <w:pPr>
              <w:spacing w:after="0" w:line="240" w:lineRule="auto"/>
              <w:rPr>
                <w:rFonts w:hint="eastAsia" w:ascii="宋体" w:hAnsi="宋体" w:eastAsia="宋体" w:cs="宋体"/>
              </w:rPr>
            </w:pPr>
            <w:r>
              <w:rPr>
                <w:rFonts w:hint="eastAsia" w:ascii="宋体" w:hAnsi="宋体" w:eastAsia="宋体" w:cs="宋体"/>
                <w:b w:val="0"/>
                <w:sz w:val="18"/>
              </w:rPr>
              <w:t>−0.015</w:t>
            </w:r>
          </w:p>
        </w:tc>
        <w:tc>
          <w:tcPr>
            <w:tcW w:w="743" w:type="dxa"/>
          </w:tcPr>
          <w:p w14:paraId="4A4AEC14">
            <w:pPr>
              <w:spacing w:after="0" w:line="240" w:lineRule="auto"/>
              <w:rPr>
                <w:rFonts w:hint="eastAsia" w:ascii="宋体" w:hAnsi="宋体" w:eastAsia="宋体" w:cs="宋体"/>
              </w:rPr>
            </w:pPr>
          </w:p>
        </w:tc>
      </w:tr>
      <w:tr w14:paraId="3C1A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26BE0E24">
            <w:pPr>
              <w:spacing w:after="0" w:line="240" w:lineRule="auto"/>
              <w:rPr>
                <w:rFonts w:hint="eastAsia" w:ascii="宋体" w:hAnsi="宋体" w:eastAsia="宋体" w:cs="宋体"/>
              </w:rPr>
            </w:pPr>
            <w:r>
              <w:rPr>
                <w:rFonts w:hint="eastAsia" w:ascii="宋体" w:hAnsi="宋体" w:eastAsia="宋体" w:cs="宋体"/>
                <w:b w:val="0"/>
                <w:sz w:val="18"/>
              </w:rPr>
              <w:t>TN3K 外部</w:t>
            </w:r>
          </w:p>
        </w:tc>
        <w:tc>
          <w:tcPr>
            <w:tcW w:w="2200" w:type="dxa"/>
          </w:tcPr>
          <w:p w14:paraId="726C73E8">
            <w:pPr>
              <w:spacing w:after="0" w:line="240" w:lineRule="auto"/>
              <w:rPr>
                <w:rFonts w:hint="eastAsia" w:ascii="宋体" w:hAnsi="宋体" w:eastAsia="宋体" w:cs="宋体"/>
              </w:rPr>
            </w:pPr>
            <w:r>
              <w:rPr>
                <w:rFonts w:hint="eastAsia" w:ascii="宋体" w:hAnsi="宋体" w:eastAsia="宋体" w:cs="宋体"/>
                <w:b w:val="0"/>
                <w:sz w:val="18"/>
              </w:rPr>
              <w:t>+0.085</w:t>
            </w:r>
          </w:p>
        </w:tc>
        <w:tc>
          <w:tcPr>
            <w:tcW w:w="1050" w:type="dxa"/>
          </w:tcPr>
          <w:p w14:paraId="4744A27D">
            <w:pPr>
              <w:spacing w:after="0" w:line="240" w:lineRule="auto"/>
              <w:rPr>
                <w:rFonts w:hint="eastAsia" w:ascii="宋体" w:hAnsi="宋体" w:eastAsia="宋体" w:cs="宋体"/>
              </w:rPr>
            </w:pPr>
            <w:r>
              <w:rPr>
                <w:rFonts w:hint="eastAsia" w:ascii="宋体" w:hAnsi="宋体" w:eastAsia="宋体" w:cs="宋体"/>
                <w:b w:val="0"/>
                <w:sz w:val="18"/>
              </w:rPr>
              <w:t>+16.1 个百分点</w:t>
            </w:r>
          </w:p>
        </w:tc>
        <w:tc>
          <w:tcPr>
            <w:tcW w:w="900" w:type="dxa"/>
          </w:tcPr>
          <w:p w14:paraId="39BAC5B6">
            <w:pPr>
              <w:spacing w:after="0" w:line="240" w:lineRule="auto"/>
              <w:rPr>
                <w:rFonts w:hint="eastAsia" w:ascii="宋体" w:hAnsi="宋体" w:eastAsia="宋体" w:cs="宋体"/>
              </w:rPr>
            </w:pPr>
            <w:r>
              <w:rPr>
                <w:rFonts w:hint="eastAsia" w:ascii="宋体" w:hAnsi="宋体" w:eastAsia="宋体" w:cs="宋体"/>
                <w:b w:val="0"/>
                <w:sz w:val="18"/>
              </w:rPr>
              <w:t>+0.8 个百分点</w:t>
            </w:r>
          </w:p>
        </w:tc>
        <w:tc>
          <w:tcPr>
            <w:tcW w:w="760" w:type="dxa"/>
          </w:tcPr>
          <w:p w14:paraId="03D58076">
            <w:pPr>
              <w:spacing w:after="0" w:line="240" w:lineRule="auto"/>
              <w:rPr>
                <w:rFonts w:hint="eastAsia" w:ascii="宋体" w:hAnsi="宋体" w:eastAsia="宋体" w:cs="宋体"/>
              </w:rPr>
            </w:pPr>
            <w:r>
              <w:rPr>
                <w:rFonts w:hint="eastAsia" w:ascii="宋体" w:hAnsi="宋体" w:eastAsia="宋体" w:cs="宋体"/>
                <w:b w:val="0"/>
                <w:sz w:val="18"/>
              </w:rPr>
              <w:t>+6.7 个百分点</w:t>
            </w:r>
          </w:p>
        </w:tc>
        <w:tc>
          <w:tcPr>
            <w:tcW w:w="860" w:type="dxa"/>
          </w:tcPr>
          <w:p w14:paraId="79B8D475">
            <w:pPr>
              <w:spacing w:after="0" w:line="240" w:lineRule="auto"/>
              <w:rPr>
                <w:rFonts w:hint="eastAsia" w:ascii="宋体" w:hAnsi="宋体" w:eastAsia="宋体" w:cs="宋体"/>
              </w:rPr>
            </w:pPr>
            <w:r>
              <w:rPr>
                <w:rFonts w:hint="eastAsia" w:ascii="宋体" w:hAnsi="宋体" w:eastAsia="宋体" w:cs="宋体"/>
                <w:b w:val="0"/>
                <w:sz w:val="18"/>
              </w:rPr>
              <w:t>−0.069</w:t>
            </w:r>
          </w:p>
        </w:tc>
        <w:tc>
          <w:tcPr>
            <w:tcW w:w="743" w:type="dxa"/>
          </w:tcPr>
          <w:p w14:paraId="1383F0D3">
            <w:pPr>
              <w:spacing w:after="0" w:line="240" w:lineRule="auto"/>
              <w:rPr>
                <w:rFonts w:hint="eastAsia" w:ascii="宋体" w:hAnsi="宋体" w:eastAsia="宋体" w:cs="宋体"/>
              </w:rPr>
            </w:pPr>
          </w:p>
        </w:tc>
      </w:tr>
      <w:tr w14:paraId="7BB2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3" w:type="dxa"/>
          </w:tcPr>
          <w:p w14:paraId="329DA6C4">
            <w:pPr>
              <w:spacing w:after="0" w:line="240" w:lineRule="auto"/>
              <w:rPr>
                <w:rFonts w:hint="eastAsia" w:ascii="宋体" w:hAnsi="宋体" w:eastAsia="宋体" w:cs="宋体"/>
              </w:rPr>
            </w:pPr>
            <w:r>
              <w:rPr>
                <w:rFonts w:hint="eastAsia" w:ascii="宋体" w:hAnsi="宋体" w:eastAsia="宋体" w:cs="宋体"/>
                <w:b w:val="0"/>
                <w:sz w:val="18"/>
              </w:rPr>
              <w:t>Thy-Wise 外部</w:t>
            </w:r>
          </w:p>
        </w:tc>
        <w:tc>
          <w:tcPr>
            <w:tcW w:w="2200" w:type="dxa"/>
          </w:tcPr>
          <w:p w14:paraId="259714F8">
            <w:pPr>
              <w:spacing w:after="0" w:line="240" w:lineRule="auto"/>
              <w:rPr>
                <w:rFonts w:hint="eastAsia" w:ascii="宋体" w:hAnsi="宋体" w:eastAsia="宋体" w:cs="宋体"/>
              </w:rPr>
            </w:pPr>
            <w:r>
              <w:rPr>
                <w:rFonts w:hint="eastAsia" w:ascii="宋体" w:hAnsi="宋体" w:eastAsia="宋体" w:cs="宋体"/>
                <w:b w:val="0"/>
                <w:sz w:val="18"/>
              </w:rPr>
              <w:t>+0.102</w:t>
            </w:r>
          </w:p>
        </w:tc>
        <w:tc>
          <w:tcPr>
            <w:tcW w:w="1050" w:type="dxa"/>
          </w:tcPr>
          <w:p w14:paraId="7EAAEB1A">
            <w:pPr>
              <w:spacing w:after="0" w:line="240" w:lineRule="auto"/>
              <w:rPr>
                <w:rFonts w:hint="eastAsia" w:ascii="宋体" w:hAnsi="宋体" w:eastAsia="宋体" w:cs="宋体"/>
              </w:rPr>
            </w:pPr>
            <w:r>
              <w:rPr>
                <w:rFonts w:hint="eastAsia" w:ascii="宋体" w:hAnsi="宋体" w:eastAsia="宋体" w:cs="宋体"/>
                <w:b w:val="0"/>
                <w:sz w:val="18"/>
              </w:rPr>
              <w:t>+7.1 个百分点</w:t>
            </w:r>
          </w:p>
        </w:tc>
        <w:tc>
          <w:tcPr>
            <w:tcW w:w="900" w:type="dxa"/>
          </w:tcPr>
          <w:p w14:paraId="62EEFE4C">
            <w:pPr>
              <w:spacing w:after="0" w:line="240" w:lineRule="auto"/>
              <w:rPr>
                <w:rFonts w:hint="eastAsia" w:ascii="宋体" w:hAnsi="宋体" w:eastAsia="宋体" w:cs="宋体"/>
              </w:rPr>
            </w:pPr>
            <w:r>
              <w:rPr>
                <w:rFonts w:hint="eastAsia" w:ascii="宋体" w:hAnsi="宋体" w:eastAsia="宋体" w:cs="宋体"/>
                <w:b w:val="0"/>
                <w:sz w:val="18"/>
              </w:rPr>
              <w:t>+0.4 个百分点</w:t>
            </w:r>
          </w:p>
        </w:tc>
        <w:tc>
          <w:tcPr>
            <w:tcW w:w="760" w:type="dxa"/>
          </w:tcPr>
          <w:p w14:paraId="09D0B437">
            <w:pPr>
              <w:spacing w:after="0" w:line="240" w:lineRule="auto"/>
              <w:rPr>
                <w:rFonts w:hint="eastAsia" w:ascii="宋体" w:hAnsi="宋体" w:eastAsia="宋体" w:cs="宋体"/>
              </w:rPr>
            </w:pPr>
            <w:r>
              <w:rPr>
                <w:rFonts w:hint="eastAsia" w:ascii="宋体" w:hAnsi="宋体" w:eastAsia="宋体" w:cs="宋体"/>
                <w:b w:val="0"/>
                <w:sz w:val="18"/>
              </w:rPr>
              <w:t>+2.2 个百分点</w:t>
            </w:r>
          </w:p>
        </w:tc>
        <w:tc>
          <w:tcPr>
            <w:tcW w:w="860" w:type="dxa"/>
          </w:tcPr>
          <w:p w14:paraId="32623C6D">
            <w:pPr>
              <w:spacing w:after="0" w:line="240" w:lineRule="auto"/>
              <w:rPr>
                <w:rFonts w:hint="eastAsia" w:ascii="宋体" w:hAnsi="宋体" w:eastAsia="宋体" w:cs="宋体"/>
              </w:rPr>
            </w:pPr>
            <w:r>
              <w:rPr>
                <w:rFonts w:hint="eastAsia" w:ascii="宋体" w:hAnsi="宋体" w:eastAsia="宋体" w:cs="宋体"/>
                <w:b w:val="0"/>
                <w:sz w:val="18"/>
              </w:rPr>
              <w:t>0.000</w:t>
            </w:r>
          </w:p>
        </w:tc>
        <w:tc>
          <w:tcPr>
            <w:tcW w:w="743" w:type="dxa"/>
          </w:tcPr>
          <w:p w14:paraId="11A5DDC8">
            <w:pPr>
              <w:spacing w:after="0" w:line="240" w:lineRule="auto"/>
              <w:rPr>
                <w:rFonts w:hint="eastAsia" w:ascii="宋体" w:hAnsi="宋体" w:eastAsia="宋体" w:cs="宋体"/>
              </w:rPr>
            </w:pPr>
          </w:p>
        </w:tc>
      </w:tr>
    </w:tbl>
    <w:p w14:paraId="70D90604">
      <w:pPr>
        <w:rPr>
          <w:rFonts w:hint="eastAsia" w:ascii="宋体" w:hAnsi="宋体" w:eastAsia="宋体" w:cs="宋体"/>
        </w:rPr>
      </w:pPr>
    </w:p>
    <w:p w14:paraId="3FD9982B">
      <w:pPr>
        <w:spacing w:after="120"/>
        <w:ind w:left="288"/>
        <w:rPr>
          <w:rFonts w:hint="eastAsia" w:ascii="宋体" w:hAnsi="宋体" w:eastAsia="宋体" w:cs="宋体"/>
        </w:rPr>
      </w:pPr>
      <w:r>
        <w:rPr>
          <w:rFonts w:hint="eastAsia" w:ascii="宋体" w:hAnsi="宋体" w:eastAsia="宋体" w:cs="宋体"/>
          <w:sz w:val="18"/>
          <w:vertAlign w:val="superscript"/>
        </w:rPr>
        <w:t>a</w:t>
      </w:r>
      <w:r>
        <w:rPr>
          <w:rFonts w:hint="eastAsia" w:ascii="宋体" w:hAnsi="宋体" w:eastAsia="宋体" w:cs="宋体"/>
        </w:rPr>
        <w:t xml:space="preserve"> TN3K 完整队列 AUC 仅用于域漂移说明；匹配 Δ 对两个模型均使用官方测试划分（n = 614）。</w:t>
      </w:r>
    </w:p>
    <w:p w14:paraId="300E7307">
      <w:pPr>
        <w:spacing w:after="120"/>
        <w:rPr>
          <w:rFonts w:hint="eastAsia" w:ascii="宋体" w:hAnsi="宋体" w:eastAsia="宋体" w:cs="宋体"/>
        </w:rPr>
      </w:pPr>
      <w:r>
        <w:rPr>
          <w:rFonts w:hint="eastAsia" w:ascii="宋体" w:hAnsi="宋体" w:eastAsia="宋体" w:cs="宋体"/>
        </w:rPr>
        <w:t>所有指标在固定 0.5 决策阈值下计算。Thy-Wise 的灵敏度与特异度使用结节内平均概率聚合。Δ = 联合模型减仅 TN5000 模型；pp = 百分点。</w:t>
      </w:r>
    </w:p>
    <w:p w14:paraId="4EC0A70E">
      <w:pPr>
        <w:spacing w:after="120"/>
        <w:rPr>
          <w:rFonts w:hint="eastAsia" w:ascii="宋体" w:hAnsi="宋体" w:eastAsia="宋体" w:cs="宋体"/>
        </w:rPr>
      </w:pPr>
      <w:r>
        <w:rPr>
          <w:rFonts w:hint="eastAsia" w:ascii="宋体" w:hAnsi="宋体" w:eastAsia="宋体" w:cs="宋体"/>
        </w:rPr>
        <w:t>这些结果表明图像特征主导分类任务，加入专家 TI-RADS 和人口学特征相对纯图像带来小幅但一致的判别改善（Δ AUC +0.007、AUPRC +0.009、特异度 +0.031）。该增益与"结构化临床先验补充图像特征"的假设方向一致，但在这一单设备队列中幅度适中（图 5）。</w:t>
      </w:r>
    </w:p>
    <w:p w14:paraId="50B26735">
      <w:pPr>
        <w:spacing w:after="120"/>
        <w:rPr>
          <w:rFonts w:hint="eastAsia" w:ascii="宋体" w:hAnsi="宋体" w:eastAsia="宋体" w:cs="宋体"/>
        </w:rPr>
      </w:pPr>
      <w:r>
        <w:rPr>
          <w:rFonts w:hint="eastAsia" w:ascii="宋体" w:hAnsi="宋体" w:eastAsia="宋体" w:cs="宋体"/>
          <w:b/>
        </w:rPr>
        <w:t>表 3.</w:t>
      </w:r>
      <w:r>
        <w:rPr>
          <w:rFonts w:hint="eastAsia" w:ascii="宋体" w:hAnsi="宋体" w:eastAsia="宋体" w:cs="宋体"/>
        </w:rPr>
        <w:t xml:space="preserve"> ThyroidXL 独立测试队列上的三臂消融（结节级，n = 739）。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2445"/>
        <w:gridCol w:w="1130"/>
        <w:gridCol w:w="1190"/>
        <w:gridCol w:w="1090"/>
        <w:gridCol w:w="900"/>
        <w:gridCol w:w="913"/>
      </w:tblGrid>
      <w:tr w14:paraId="51A8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Pr>
          <w:p w14:paraId="098780F2">
            <w:pPr>
              <w:spacing w:after="0" w:line="240" w:lineRule="auto"/>
              <w:rPr>
                <w:rFonts w:hint="eastAsia" w:ascii="宋体" w:hAnsi="宋体" w:eastAsia="宋体" w:cs="宋体"/>
              </w:rPr>
            </w:pPr>
            <w:r>
              <w:rPr>
                <w:rFonts w:hint="eastAsia" w:ascii="宋体" w:hAnsi="宋体" w:eastAsia="宋体" w:cs="宋体"/>
                <w:b/>
                <w:sz w:val="18"/>
              </w:rPr>
              <w:t>模型</w:t>
            </w:r>
          </w:p>
        </w:tc>
        <w:tc>
          <w:tcPr>
            <w:tcW w:w="2445" w:type="dxa"/>
          </w:tcPr>
          <w:p w14:paraId="2CAAA7FB">
            <w:pPr>
              <w:spacing w:after="0" w:line="240" w:lineRule="auto"/>
              <w:rPr>
                <w:rFonts w:hint="eastAsia" w:ascii="宋体" w:hAnsi="宋体" w:eastAsia="宋体" w:cs="宋体"/>
              </w:rPr>
            </w:pPr>
            <w:r>
              <w:rPr>
                <w:rFonts w:hint="eastAsia" w:ascii="宋体" w:hAnsi="宋体" w:eastAsia="宋体" w:cs="宋体"/>
                <w:b/>
                <w:sz w:val="18"/>
              </w:rPr>
              <w:t>AUC（95% CI）</w:t>
            </w:r>
          </w:p>
        </w:tc>
        <w:tc>
          <w:tcPr>
            <w:tcW w:w="1130" w:type="dxa"/>
          </w:tcPr>
          <w:p w14:paraId="4CEFDCB7">
            <w:pPr>
              <w:spacing w:after="0" w:line="240" w:lineRule="auto"/>
              <w:rPr>
                <w:rFonts w:hint="eastAsia" w:ascii="宋体" w:hAnsi="宋体" w:eastAsia="宋体" w:cs="宋体"/>
              </w:rPr>
            </w:pPr>
            <w:r>
              <w:rPr>
                <w:rFonts w:hint="eastAsia" w:ascii="宋体" w:hAnsi="宋体" w:eastAsia="宋体" w:cs="宋体"/>
                <w:b/>
                <w:sz w:val="18"/>
              </w:rPr>
              <w:t>AUPRC</w:t>
            </w:r>
          </w:p>
        </w:tc>
        <w:tc>
          <w:tcPr>
            <w:tcW w:w="1190" w:type="dxa"/>
          </w:tcPr>
          <w:p w14:paraId="47E631F4">
            <w:pPr>
              <w:spacing w:after="0" w:line="240" w:lineRule="auto"/>
              <w:rPr>
                <w:rFonts w:hint="eastAsia" w:ascii="宋体" w:hAnsi="宋体" w:eastAsia="宋体" w:cs="宋体"/>
              </w:rPr>
            </w:pPr>
            <w:r>
              <w:rPr>
                <w:rFonts w:hint="eastAsia" w:ascii="宋体" w:hAnsi="宋体" w:eastAsia="宋体" w:cs="宋体"/>
                <w:b/>
                <w:sz w:val="18"/>
              </w:rPr>
              <w:t>灵敏度</w:t>
            </w:r>
          </w:p>
        </w:tc>
        <w:tc>
          <w:tcPr>
            <w:tcW w:w="1090" w:type="dxa"/>
          </w:tcPr>
          <w:p w14:paraId="0D85C11D">
            <w:pPr>
              <w:spacing w:after="0" w:line="240" w:lineRule="auto"/>
              <w:rPr>
                <w:rFonts w:hint="eastAsia" w:ascii="宋体" w:hAnsi="宋体" w:eastAsia="宋体" w:cs="宋体"/>
              </w:rPr>
            </w:pPr>
            <w:r>
              <w:rPr>
                <w:rFonts w:hint="eastAsia" w:ascii="宋体" w:hAnsi="宋体" w:eastAsia="宋体" w:cs="宋体"/>
                <w:b/>
                <w:sz w:val="18"/>
              </w:rPr>
              <w:t>特异度</w:t>
            </w:r>
          </w:p>
        </w:tc>
        <w:tc>
          <w:tcPr>
            <w:tcW w:w="900" w:type="dxa"/>
          </w:tcPr>
          <w:p w14:paraId="143A21BF">
            <w:pPr>
              <w:spacing w:after="0" w:line="240" w:lineRule="auto"/>
              <w:rPr>
                <w:rFonts w:hint="eastAsia" w:ascii="宋体" w:hAnsi="宋体" w:eastAsia="宋体" w:cs="宋体"/>
              </w:rPr>
            </w:pPr>
            <w:r>
              <w:rPr>
                <w:rFonts w:hint="eastAsia" w:ascii="宋体" w:hAnsi="宋体" w:eastAsia="宋体" w:cs="宋体"/>
                <w:b/>
                <w:sz w:val="18"/>
              </w:rPr>
              <w:t>ACC</w:t>
            </w:r>
          </w:p>
        </w:tc>
        <w:tc>
          <w:tcPr>
            <w:tcW w:w="913" w:type="dxa"/>
          </w:tcPr>
          <w:p w14:paraId="152D8447">
            <w:pPr>
              <w:spacing w:after="0" w:line="240" w:lineRule="auto"/>
              <w:rPr>
                <w:rFonts w:hint="eastAsia" w:ascii="宋体" w:hAnsi="宋体" w:eastAsia="宋体" w:cs="宋体"/>
              </w:rPr>
            </w:pPr>
            <w:r>
              <w:rPr>
                <w:rFonts w:hint="eastAsia" w:ascii="宋体" w:hAnsi="宋体" w:eastAsia="宋体" w:cs="宋体"/>
                <w:b/>
                <w:sz w:val="18"/>
              </w:rPr>
              <w:t>ECE</w:t>
            </w:r>
          </w:p>
        </w:tc>
      </w:tr>
      <w:tr w14:paraId="0E18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Pr>
          <w:p w14:paraId="3FE8DDDA">
            <w:pPr>
              <w:spacing w:after="0" w:line="240" w:lineRule="auto"/>
              <w:rPr>
                <w:rFonts w:hint="eastAsia" w:ascii="宋体" w:hAnsi="宋体" w:eastAsia="宋体" w:cs="宋体"/>
              </w:rPr>
            </w:pPr>
            <w:r>
              <w:rPr>
                <w:rFonts w:hint="eastAsia" w:ascii="宋体" w:hAnsi="宋体" w:eastAsia="宋体" w:cs="宋体"/>
                <w:b w:val="0"/>
                <w:sz w:val="18"/>
              </w:rPr>
              <w:t>纯图像</w:t>
            </w:r>
          </w:p>
        </w:tc>
        <w:tc>
          <w:tcPr>
            <w:tcW w:w="2445" w:type="dxa"/>
          </w:tcPr>
          <w:p w14:paraId="0F9B43E7">
            <w:pPr>
              <w:spacing w:after="0" w:line="240" w:lineRule="auto"/>
              <w:rPr>
                <w:rFonts w:hint="eastAsia" w:ascii="宋体" w:hAnsi="宋体" w:eastAsia="宋体" w:cs="宋体"/>
              </w:rPr>
            </w:pPr>
            <w:r>
              <w:rPr>
                <w:rFonts w:hint="eastAsia" w:ascii="宋体" w:hAnsi="宋体" w:eastAsia="宋体" w:cs="宋体"/>
                <w:b w:val="0"/>
                <w:sz w:val="18"/>
              </w:rPr>
              <w:t>0.939（0.924–0.954）</w:t>
            </w:r>
          </w:p>
        </w:tc>
        <w:tc>
          <w:tcPr>
            <w:tcW w:w="1130" w:type="dxa"/>
          </w:tcPr>
          <w:p w14:paraId="3DBB0ED0">
            <w:pPr>
              <w:spacing w:after="0" w:line="240" w:lineRule="auto"/>
              <w:rPr>
                <w:rFonts w:hint="eastAsia" w:ascii="宋体" w:hAnsi="宋体" w:eastAsia="宋体" w:cs="宋体"/>
              </w:rPr>
            </w:pPr>
            <w:r>
              <w:rPr>
                <w:rFonts w:hint="eastAsia" w:ascii="宋体" w:hAnsi="宋体" w:eastAsia="宋体" w:cs="宋体"/>
                <w:b w:val="0"/>
                <w:sz w:val="18"/>
              </w:rPr>
              <w:t>0.930</w:t>
            </w:r>
          </w:p>
        </w:tc>
        <w:tc>
          <w:tcPr>
            <w:tcW w:w="1190" w:type="dxa"/>
          </w:tcPr>
          <w:p w14:paraId="4603811A">
            <w:pPr>
              <w:spacing w:after="0" w:line="240" w:lineRule="auto"/>
              <w:rPr>
                <w:rFonts w:hint="eastAsia" w:ascii="宋体" w:hAnsi="宋体" w:eastAsia="宋体" w:cs="宋体"/>
              </w:rPr>
            </w:pPr>
            <w:r>
              <w:rPr>
                <w:rFonts w:hint="eastAsia" w:ascii="宋体" w:hAnsi="宋体" w:eastAsia="宋体" w:cs="宋体"/>
                <w:b w:val="0"/>
                <w:sz w:val="18"/>
              </w:rPr>
              <w:t>0.779</w:t>
            </w:r>
          </w:p>
        </w:tc>
        <w:tc>
          <w:tcPr>
            <w:tcW w:w="1090" w:type="dxa"/>
          </w:tcPr>
          <w:p w14:paraId="401EFE5C">
            <w:pPr>
              <w:spacing w:after="0" w:line="240" w:lineRule="auto"/>
              <w:rPr>
                <w:rFonts w:hint="eastAsia" w:ascii="宋体" w:hAnsi="宋体" w:eastAsia="宋体" w:cs="宋体"/>
              </w:rPr>
            </w:pPr>
            <w:r>
              <w:rPr>
                <w:rFonts w:hint="eastAsia" w:ascii="宋体" w:hAnsi="宋体" w:eastAsia="宋体" w:cs="宋体"/>
                <w:b w:val="0"/>
                <w:sz w:val="18"/>
              </w:rPr>
              <w:t>0.909</w:t>
            </w:r>
          </w:p>
        </w:tc>
        <w:tc>
          <w:tcPr>
            <w:tcW w:w="900" w:type="dxa"/>
          </w:tcPr>
          <w:p w14:paraId="05E503ED">
            <w:pPr>
              <w:spacing w:after="0" w:line="240" w:lineRule="auto"/>
              <w:rPr>
                <w:rFonts w:hint="eastAsia" w:ascii="宋体" w:hAnsi="宋体" w:eastAsia="宋体" w:cs="宋体"/>
              </w:rPr>
            </w:pPr>
            <w:r>
              <w:rPr>
                <w:rFonts w:hint="eastAsia" w:ascii="宋体" w:hAnsi="宋体" w:eastAsia="宋体" w:cs="宋体"/>
                <w:b w:val="0"/>
                <w:sz w:val="18"/>
              </w:rPr>
              <w:t>0.847</w:t>
            </w:r>
          </w:p>
        </w:tc>
        <w:tc>
          <w:tcPr>
            <w:tcW w:w="913" w:type="dxa"/>
          </w:tcPr>
          <w:p w14:paraId="633B8044">
            <w:pPr>
              <w:spacing w:after="0" w:line="240" w:lineRule="auto"/>
              <w:rPr>
                <w:rFonts w:hint="eastAsia" w:ascii="宋体" w:hAnsi="宋体" w:eastAsia="宋体" w:cs="宋体"/>
              </w:rPr>
            </w:pPr>
            <w:r>
              <w:rPr>
                <w:rFonts w:hint="eastAsia" w:ascii="宋体" w:hAnsi="宋体" w:eastAsia="宋体" w:cs="宋体"/>
                <w:b w:val="0"/>
                <w:sz w:val="18"/>
              </w:rPr>
              <w:t>0.087</w:t>
            </w:r>
          </w:p>
        </w:tc>
      </w:tr>
      <w:tr w14:paraId="4B72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Pr>
          <w:p w14:paraId="79C05D45">
            <w:pPr>
              <w:spacing w:after="0" w:line="240" w:lineRule="auto"/>
              <w:rPr>
                <w:rFonts w:hint="eastAsia" w:ascii="宋体" w:hAnsi="宋体" w:eastAsia="宋体" w:cs="宋体"/>
              </w:rPr>
            </w:pPr>
            <w:r>
              <w:rPr>
                <w:rFonts w:hint="eastAsia" w:ascii="宋体" w:hAnsi="宋体" w:eastAsia="宋体" w:cs="宋体"/>
                <w:b w:val="0"/>
                <w:sz w:val="18"/>
              </w:rPr>
              <w:t>纯临床</w:t>
            </w:r>
          </w:p>
        </w:tc>
        <w:tc>
          <w:tcPr>
            <w:tcW w:w="2445" w:type="dxa"/>
          </w:tcPr>
          <w:p w14:paraId="4A2C491D">
            <w:pPr>
              <w:spacing w:after="0" w:line="240" w:lineRule="auto"/>
              <w:rPr>
                <w:rFonts w:hint="eastAsia" w:ascii="宋体" w:hAnsi="宋体" w:eastAsia="宋体" w:cs="宋体"/>
              </w:rPr>
            </w:pPr>
            <w:r>
              <w:rPr>
                <w:rFonts w:hint="eastAsia" w:ascii="宋体" w:hAnsi="宋体" w:eastAsia="宋体" w:cs="宋体"/>
                <w:b w:val="0"/>
                <w:sz w:val="18"/>
              </w:rPr>
              <w:t>0.814（0.782–0.847）</w:t>
            </w:r>
          </w:p>
        </w:tc>
        <w:tc>
          <w:tcPr>
            <w:tcW w:w="1130" w:type="dxa"/>
          </w:tcPr>
          <w:p w14:paraId="1F539156">
            <w:pPr>
              <w:spacing w:after="0" w:line="240" w:lineRule="auto"/>
              <w:rPr>
                <w:rFonts w:hint="eastAsia" w:ascii="宋体" w:hAnsi="宋体" w:eastAsia="宋体" w:cs="宋体"/>
              </w:rPr>
            </w:pPr>
            <w:r>
              <w:rPr>
                <w:rFonts w:hint="eastAsia" w:ascii="宋体" w:hAnsi="宋体" w:eastAsia="宋体" w:cs="宋体"/>
                <w:b w:val="0"/>
                <w:sz w:val="18"/>
              </w:rPr>
              <w:t>0.735</w:t>
            </w:r>
          </w:p>
        </w:tc>
        <w:tc>
          <w:tcPr>
            <w:tcW w:w="1190" w:type="dxa"/>
          </w:tcPr>
          <w:p w14:paraId="33CA117C">
            <w:pPr>
              <w:spacing w:after="0" w:line="240" w:lineRule="auto"/>
              <w:rPr>
                <w:rFonts w:hint="eastAsia" w:ascii="宋体" w:hAnsi="宋体" w:eastAsia="宋体" w:cs="宋体"/>
              </w:rPr>
            </w:pPr>
            <w:r>
              <w:rPr>
                <w:rFonts w:hint="eastAsia" w:ascii="宋体" w:hAnsi="宋体" w:eastAsia="宋体" w:cs="宋体"/>
                <w:b w:val="0"/>
                <w:sz w:val="18"/>
              </w:rPr>
              <w:t>0.00</w:t>
            </w:r>
          </w:p>
        </w:tc>
        <w:tc>
          <w:tcPr>
            <w:tcW w:w="1090" w:type="dxa"/>
          </w:tcPr>
          <w:p w14:paraId="46B058E2">
            <w:pPr>
              <w:spacing w:after="0" w:line="240" w:lineRule="auto"/>
              <w:rPr>
                <w:rFonts w:hint="eastAsia" w:ascii="宋体" w:hAnsi="宋体" w:eastAsia="宋体" w:cs="宋体"/>
              </w:rPr>
            </w:pPr>
            <w:r>
              <w:rPr>
                <w:rFonts w:hint="eastAsia" w:ascii="宋体" w:hAnsi="宋体" w:eastAsia="宋体" w:cs="宋体"/>
                <w:b w:val="0"/>
                <w:sz w:val="18"/>
              </w:rPr>
              <w:t>1.00</w:t>
            </w:r>
          </w:p>
        </w:tc>
        <w:tc>
          <w:tcPr>
            <w:tcW w:w="900" w:type="dxa"/>
          </w:tcPr>
          <w:p w14:paraId="607B6A72">
            <w:pPr>
              <w:spacing w:after="0" w:line="240" w:lineRule="auto"/>
              <w:rPr>
                <w:rFonts w:hint="eastAsia" w:ascii="宋体" w:hAnsi="宋体" w:eastAsia="宋体" w:cs="宋体"/>
              </w:rPr>
            </w:pPr>
            <w:r>
              <w:rPr>
                <w:rFonts w:hint="eastAsia" w:ascii="宋体" w:hAnsi="宋体" w:eastAsia="宋体" w:cs="宋体"/>
                <w:b w:val="0"/>
                <w:sz w:val="18"/>
              </w:rPr>
              <w:t>0.522</w:t>
            </w:r>
          </w:p>
        </w:tc>
        <w:tc>
          <w:tcPr>
            <w:tcW w:w="913" w:type="dxa"/>
          </w:tcPr>
          <w:p w14:paraId="04F27C94">
            <w:pPr>
              <w:spacing w:after="0" w:line="240" w:lineRule="auto"/>
              <w:rPr>
                <w:rFonts w:hint="eastAsia" w:ascii="宋体" w:hAnsi="宋体" w:eastAsia="宋体" w:cs="宋体"/>
              </w:rPr>
            </w:pPr>
            <w:r>
              <w:rPr>
                <w:rFonts w:hint="eastAsia" w:ascii="宋体" w:hAnsi="宋体" w:eastAsia="宋体" w:cs="宋体"/>
                <w:b w:val="0"/>
                <w:sz w:val="18"/>
              </w:rPr>
              <w:t>0.248</w:t>
            </w:r>
          </w:p>
        </w:tc>
      </w:tr>
      <w:tr w14:paraId="58E9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Pr>
          <w:p w14:paraId="47ED65E7">
            <w:pPr>
              <w:spacing w:after="0" w:line="240" w:lineRule="auto"/>
              <w:rPr>
                <w:rFonts w:hint="eastAsia" w:ascii="宋体" w:hAnsi="宋体" w:eastAsia="宋体" w:cs="宋体"/>
              </w:rPr>
            </w:pPr>
            <w:r>
              <w:rPr>
                <w:rFonts w:hint="eastAsia" w:ascii="宋体" w:hAnsi="宋体" w:eastAsia="宋体" w:cs="宋体"/>
                <w:b w:val="0"/>
                <w:sz w:val="18"/>
              </w:rPr>
              <w:t>融合</w:t>
            </w:r>
          </w:p>
        </w:tc>
        <w:tc>
          <w:tcPr>
            <w:tcW w:w="2445" w:type="dxa"/>
          </w:tcPr>
          <w:p w14:paraId="4C77710E">
            <w:pPr>
              <w:spacing w:after="0" w:line="240" w:lineRule="auto"/>
              <w:rPr>
                <w:rFonts w:hint="eastAsia" w:ascii="宋体" w:hAnsi="宋体" w:eastAsia="宋体" w:cs="宋体"/>
              </w:rPr>
            </w:pPr>
            <w:r>
              <w:rPr>
                <w:rFonts w:hint="eastAsia" w:ascii="宋体" w:hAnsi="宋体" w:eastAsia="宋体" w:cs="宋体"/>
                <w:b w:val="0"/>
                <w:sz w:val="18"/>
              </w:rPr>
              <w:t>0.947（0.932–0.960）</w:t>
            </w:r>
          </w:p>
        </w:tc>
        <w:tc>
          <w:tcPr>
            <w:tcW w:w="1130" w:type="dxa"/>
          </w:tcPr>
          <w:p w14:paraId="425F2A9D">
            <w:pPr>
              <w:spacing w:after="0" w:line="240" w:lineRule="auto"/>
              <w:rPr>
                <w:rFonts w:hint="eastAsia" w:ascii="宋体" w:hAnsi="宋体" w:eastAsia="宋体" w:cs="宋体"/>
              </w:rPr>
            </w:pPr>
            <w:r>
              <w:rPr>
                <w:rFonts w:hint="eastAsia" w:ascii="宋体" w:hAnsi="宋体" w:eastAsia="宋体" w:cs="宋体"/>
                <w:b w:val="0"/>
                <w:sz w:val="18"/>
              </w:rPr>
              <w:t>0.939</w:t>
            </w:r>
          </w:p>
        </w:tc>
        <w:tc>
          <w:tcPr>
            <w:tcW w:w="1190" w:type="dxa"/>
          </w:tcPr>
          <w:p w14:paraId="44B0D6EB">
            <w:pPr>
              <w:spacing w:after="0" w:line="240" w:lineRule="auto"/>
              <w:rPr>
                <w:rFonts w:hint="eastAsia" w:ascii="宋体" w:hAnsi="宋体" w:eastAsia="宋体" w:cs="宋体"/>
              </w:rPr>
            </w:pPr>
            <w:r>
              <w:rPr>
                <w:rFonts w:hint="eastAsia" w:ascii="宋体" w:hAnsi="宋体" w:eastAsia="宋体" w:cs="宋体"/>
                <w:b w:val="0"/>
                <w:sz w:val="18"/>
              </w:rPr>
              <w:t>0.725</w:t>
            </w:r>
          </w:p>
        </w:tc>
        <w:tc>
          <w:tcPr>
            <w:tcW w:w="1090" w:type="dxa"/>
          </w:tcPr>
          <w:p w14:paraId="32CBB865">
            <w:pPr>
              <w:spacing w:after="0" w:line="240" w:lineRule="auto"/>
              <w:rPr>
                <w:rFonts w:hint="eastAsia" w:ascii="宋体" w:hAnsi="宋体" w:eastAsia="宋体" w:cs="宋体"/>
              </w:rPr>
            </w:pPr>
            <w:r>
              <w:rPr>
                <w:rFonts w:hint="eastAsia" w:ascii="宋体" w:hAnsi="宋体" w:eastAsia="宋体" w:cs="宋体"/>
                <w:b w:val="0"/>
                <w:sz w:val="18"/>
              </w:rPr>
              <w:t>0.940</w:t>
            </w:r>
          </w:p>
        </w:tc>
        <w:tc>
          <w:tcPr>
            <w:tcW w:w="900" w:type="dxa"/>
          </w:tcPr>
          <w:p w14:paraId="2725B9AA">
            <w:pPr>
              <w:spacing w:after="0" w:line="240" w:lineRule="auto"/>
              <w:rPr>
                <w:rFonts w:hint="eastAsia" w:ascii="宋体" w:hAnsi="宋体" w:eastAsia="宋体" w:cs="宋体"/>
              </w:rPr>
            </w:pPr>
            <w:r>
              <w:rPr>
                <w:rFonts w:hint="eastAsia" w:ascii="宋体" w:hAnsi="宋体" w:eastAsia="宋体" w:cs="宋体"/>
                <w:b w:val="0"/>
                <w:sz w:val="18"/>
              </w:rPr>
              <w:t>0.838</w:t>
            </w:r>
          </w:p>
        </w:tc>
        <w:tc>
          <w:tcPr>
            <w:tcW w:w="913" w:type="dxa"/>
          </w:tcPr>
          <w:p w14:paraId="686CCFE9">
            <w:pPr>
              <w:spacing w:after="0" w:line="240" w:lineRule="auto"/>
              <w:rPr>
                <w:rFonts w:hint="eastAsia" w:ascii="宋体" w:hAnsi="宋体" w:eastAsia="宋体" w:cs="宋体"/>
              </w:rPr>
            </w:pPr>
            <w:r>
              <w:rPr>
                <w:rFonts w:hint="eastAsia" w:ascii="宋体" w:hAnsi="宋体" w:eastAsia="宋体" w:cs="宋体"/>
                <w:b w:val="0"/>
                <w:sz w:val="18"/>
              </w:rPr>
              <w:t>0.118</w:t>
            </w:r>
          </w:p>
        </w:tc>
      </w:tr>
    </w:tbl>
    <w:p w14:paraId="2E22C362">
      <w:pPr>
        <w:rPr>
          <w:rFonts w:hint="eastAsia" w:ascii="宋体" w:hAnsi="宋体" w:eastAsia="宋体" w:cs="宋体"/>
        </w:rPr>
      </w:pPr>
    </w:p>
    <w:p w14:paraId="59E8F4B2">
      <w:pPr>
        <w:spacing w:after="120"/>
        <w:rPr>
          <w:rFonts w:hint="eastAsia" w:ascii="宋体" w:hAnsi="宋体" w:eastAsia="宋体" w:cs="宋体"/>
        </w:rPr>
      </w:pPr>
      <w:r>
        <w:rPr>
          <w:rFonts w:hint="eastAsia" w:ascii="宋体" w:hAnsi="宋体" w:eastAsia="宋体" w:cs="宋体"/>
        </w:rPr>
        <w:t>灵敏度和特异度在固定 0.5 决策阈值下报告。AUPRC = 精确率-召回率曲线下面积。表 3 报告单次训练运行（种子 42）的融合模型。作为稳健性检查，另训练了两个不同种子（123 和 2024）的融合模型；三个模</w:t>
      </w:r>
      <w:bookmarkStart w:id="22" w:name="_GoBack"/>
      <w:bookmarkEnd w:id="22"/>
      <w:r>
        <w:rPr>
          <w:rFonts w:hint="eastAsia" w:ascii="宋体" w:hAnsi="宋体" w:eastAsia="宋体" w:cs="宋体"/>
        </w:rPr>
        <w:t>型测试预测取平均将结节级 AUC 提升至 0.949（95% CI 0.935–0.962）、AUPRC 至 0.942，各种子在 0.946–0.948 之间，证实消融结果对训练种子变化的稳健性。额外两次运行使用类别加权损失（pos_weight = 0.35）以缓解 ThyroidXL 开发集的类别不平衡，而报告的种子 42 模型使用未加权损失（pos_weight = 1.0）；各种子 AUC 保持一致（0.946–0.948）。</w:t>
      </w:r>
    </w:p>
    <w:p w14:paraId="5C9FD5DA">
      <w:pPr>
        <w:pStyle w:val="4"/>
        <w:rPr>
          <w:rFonts w:hint="eastAsia" w:ascii="宋体" w:hAnsi="宋体" w:eastAsia="宋体" w:cs="宋体"/>
        </w:rPr>
      </w:pPr>
      <w:r>
        <w:rPr>
          <w:rFonts w:hint="eastAsia" w:ascii="宋体" w:hAnsi="宋体" w:eastAsia="宋体" w:cs="宋体"/>
        </w:rPr>
        <w:t>3.6 亚组分析</w:t>
      </w:r>
    </w:p>
    <w:p w14:paraId="0ABA52AA">
      <w:pPr>
        <w:spacing w:after="120"/>
        <w:rPr>
          <w:rFonts w:hint="eastAsia" w:ascii="宋体" w:hAnsi="宋体" w:eastAsia="宋体" w:cs="宋体"/>
        </w:rPr>
      </w:pPr>
      <w:r>
        <w:rPr>
          <w:rFonts w:hint="eastAsia" w:ascii="宋体" w:hAnsi="宋体" w:eastAsia="宋体" w:cs="宋体"/>
        </w:rPr>
        <w:t>为考察融合增益在临床相关的患者与结节亚组中是否一致，我们按 TI-RADS 总分、结节最大径、年龄和性别对 ThyroidXL 测试队列（n = 739 个结节）分层（表 4、图 9）。鉴于 TI-RADS 2 结节数量少（n = 45），将评分 2–3 合并为单一低中危组（TR2-3，n = 227；1.8% 恶性），评分 4 和 5 分别分析（TR4，n = 215；32.1% 恶性；TR5，n = 297；94.3% 恶性）。</w:t>
      </w:r>
    </w:p>
    <w:p w14:paraId="2F00664A">
      <w:pPr>
        <w:spacing w:after="120"/>
        <w:rPr>
          <w:rFonts w:hint="eastAsia" w:ascii="宋体" w:hAnsi="宋体" w:eastAsia="宋体" w:cs="宋体"/>
        </w:rPr>
      </w:pPr>
      <w:r>
        <w:rPr>
          <w:rFonts w:hint="eastAsia" w:ascii="宋体" w:hAnsi="宋体" w:eastAsia="宋体" w:cs="宋体"/>
        </w:rPr>
        <w:t>融合相对纯图像的增益在低中危组最大（TR2-3：Δ AUC +0.066；融合 0.950 对纯图像 0.883），在 TR4 适中（Δ +0.023；0.846 对 0.823），但在 TR5 中不存在——纯图像和融合模型表现相当（0.753 对 0.760，Δ −0.007），且该组高恶性患病率（94.3%）限制了判别余量。按结节大小，融合对 ≤10 mm 结节（0.878 对 0.868，Δ +0.010）和 10–20 mm 结节（0.979 对 0.970，Δ +0.008）优于纯图像，但对 &gt;20 mm 结节不优于（0.953 对 0.966，Δ −0.013），后者恶性患病率低（16.8%）。融合增益在各年龄层小而一致（&lt;45：+0.003；45–60：+0.008；≥60：+0.007），在较小的男性亚组中未观察到（n = 86，Δ −0.002），而女性患者（n = 653）增益为 +0.008。总体而言，亚组分析表明临床信号在图像判别最不确定处（低中危 TI-RADS、小结节）贡献最大，表 3 中适度的平均融合增益不由任何单一亚组驱动。由于 TR2-3 亚组仅含四个恶性结节，其置信区间较宽，应谨慎解读。亚组分析为探索性；所报告的 95% 置信区间未针对多重比较校正。</w:t>
      </w:r>
    </w:p>
    <w:p w14:paraId="4968F47F">
      <w:pPr>
        <w:spacing w:after="120"/>
        <w:rPr>
          <w:rFonts w:hint="eastAsia" w:ascii="宋体" w:hAnsi="宋体" w:eastAsia="宋体" w:cs="宋体"/>
        </w:rPr>
      </w:pPr>
      <w:r>
        <w:rPr>
          <w:rFonts w:hint="eastAsia" w:ascii="宋体" w:hAnsi="宋体" w:eastAsia="宋体" w:cs="宋体"/>
          <w:b/>
        </w:rPr>
        <w:t>表 4.</w:t>
      </w:r>
      <w:r>
        <w:rPr>
          <w:rFonts w:hint="eastAsia" w:ascii="宋体" w:hAnsi="宋体" w:eastAsia="宋体" w:cs="宋体"/>
        </w:rPr>
        <w:t xml:space="preserve"> ThyroidXL 测试队列上的亚组分析（结节级，n = 739）。</w:t>
      </w:r>
    </w:p>
    <w:p w14:paraId="0A675F7C">
      <w:pPr>
        <w:spacing w:after="120"/>
        <w:rPr>
          <w:rFonts w:hint="eastAsia" w:ascii="宋体" w:hAnsi="宋体" w:eastAsia="宋体" w:cs="宋体"/>
        </w:rPr>
      </w:pPr>
      <w:r>
        <w:rPr>
          <w:rFonts w:hint="eastAsia" w:ascii="宋体" w:hAnsi="宋体" w:eastAsia="宋体" w:cs="宋体"/>
        </w:rPr>
        <w:t>按模型和亚组的 AUC（95% CI）。TR = TI-RADS 总分；diameter = 结节最大径（宽或高）。Δ = 融合模型 − 纯图像模型 AUC。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859"/>
        <w:gridCol w:w="951"/>
        <w:gridCol w:w="1656"/>
        <w:gridCol w:w="1656"/>
        <w:gridCol w:w="1656"/>
        <w:gridCol w:w="994"/>
      </w:tblGrid>
      <w:tr w14:paraId="7CF7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67547D94">
            <w:pPr>
              <w:spacing w:after="0" w:line="240" w:lineRule="auto"/>
              <w:rPr>
                <w:rFonts w:hint="eastAsia" w:ascii="宋体" w:hAnsi="宋体" w:eastAsia="宋体" w:cs="宋体"/>
              </w:rPr>
            </w:pPr>
            <w:r>
              <w:rPr>
                <w:rFonts w:hint="eastAsia" w:ascii="宋体" w:hAnsi="宋体" w:eastAsia="宋体" w:cs="宋体"/>
                <w:b/>
                <w:sz w:val="18"/>
              </w:rPr>
              <w:t>亚组</w:t>
            </w:r>
          </w:p>
        </w:tc>
        <w:tc>
          <w:tcPr>
            <w:tcW w:w="1234" w:type="dxa"/>
          </w:tcPr>
          <w:p w14:paraId="3673E1DB">
            <w:pPr>
              <w:spacing w:after="0" w:line="240" w:lineRule="auto"/>
              <w:rPr>
                <w:rFonts w:hint="eastAsia" w:ascii="宋体" w:hAnsi="宋体" w:eastAsia="宋体" w:cs="宋体"/>
              </w:rPr>
            </w:pPr>
            <w:r>
              <w:rPr>
                <w:rFonts w:hint="eastAsia" w:ascii="宋体" w:hAnsi="宋体" w:eastAsia="宋体" w:cs="宋体"/>
                <w:b/>
                <w:sz w:val="18"/>
              </w:rPr>
              <w:t>n</w:t>
            </w:r>
          </w:p>
        </w:tc>
        <w:tc>
          <w:tcPr>
            <w:tcW w:w="1234" w:type="dxa"/>
          </w:tcPr>
          <w:p w14:paraId="6C25133D">
            <w:pPr>
              <w:spacing w:after="0" w:line="240" w:lineRule="auto"/>
              <w:rPr>
                <w:rFonts w:hint="eastAsia" w:ascii="宋体" w:hAnsi="宋体" w:eastAsia="宋体" w:cs="宋体"/>
              </w:rPr>
            </w:pPr>
            <w:r>
              <w:rPr>
                <w:rFonts w:hint="eastAsia" w:ascii="宋体" w:hAnsi="宋体" w:eastAsia="宋体" w:cs="宋体"/>
                <w:b/>
                <w:sz w:val="18"/>
              </w:rPr>
              <w:t>恶性（%）</w:t>
            </w:r>
          </w:p>
        </w:tc>
        <w:tc>
          <w:tcPr>
            <w:tcW w:w="1234" w:type="dxa"/>
          </w:tcPr>
          <w:p w14:paraId="1133301C">
            <w:pPr>
              <w:spacing w:after="0" w:line="240" w:lineRule="auto"/>
              <w:rPr>
                <w:rFonts w:hint="eastAsia" w:ascii="宋体" w:hAnsi="宋体" w:eastAsia="宋体" w:cs="宋体"/>
              </w:rPr>
            </w:pPr>
            <w:r>
              <w:rPr>
                <w:rFonts w:hint="eastAsia" w:ascii="宋体" w:hAnsi="宋体" w:eastAsia="宋体" w:cs="宋体"/>
                <w:b/>
                <w:sz w:val="18"/>
              </w:rPr>
              <w:t>纯图像</w:t>
            </w:r>
          </w:p>
        </w:tc>
        <w:tc>
          <w:tcPr>
            <w:tcW w:w="1234" w:type="dxa"/>
          </w:tcPr>
          <w:p w14:paraId="30ECF6C6">
            <w:pPr>
              <w:spacing w:after="0" w:line="240" w:lineRule="auto"/>
              <w:rPr>
                <w:rFonts w:hint="eastAsia" w:ascii="宋体" w:hAnsi="宋体" w:eastAsia="宋体" w:cs="宋体"/>
              </w:rPr>
            </w:pPr>
            <w:r>
              <w:rPr>
                <w:rFonts w:hint="eastAsia" w:ascii="宋体" w:hAnsi="宋体" w:eastAsia="宋体" w:cs="宋体"/>
                <w:b/>
                <w:sz w:val="18"/>
              </w:rPr>
              <w:t>纯临床</w:t>
            </w:r>
          </w:p>
        </w:tc>
        <w:tc>
          <w:tcPr>
            <w:tcW w:w="1234" w:type="dxa"/>
          </w:tcPr>
          <w:p w14:paraId="399A7542">
            <w:pPr>
              <w:spacing w:after="0" w:line="240" w:lineRule="auto"/>
              <w:rPr>
                <w:rFonts w:hint="eastAsia" w:ascii="宋体" w:hAnsi="宋体" w:eastAsia="宋体" w:cs="宋体"/>
              </w:rPr>
            </w:pPr>
            <w:r>
              <w:rPr>
                <w:rFonts w:hint="eastAsia" w:ascii="宋体" w:hAnsi="宋体" w:eastAsia="宋体" w:cs="宋体"/>
                <w:b/>
                <w:sz w:val="18"/>
              </w:rPr>
              <w:t>融合</w:t>
            </w:r>
          </w:p>
        </w:tc>
        <w:tc>
          <w:tcPr>
            <w:tcW w:w="1234" w:type="dxa"/>
          </w:tcPr>
          <w:p w14:paraId="6DCC3E2D">
            <w:pPr>
              <w:spacing w:after="0" w:line="240" w:lineRule="auto"/>
              <w:rPr>
                <w:rFonts w:hint="eastAsia" w:ascii="宋体" w:hAnsi="宋体" w:eastAsia="宋体" w:cs="宋体"/>
              </w:rPr>
            </w:pPr>
            <w:r>
              <w:rPr>
                <w:rFonts w:hint="eastAsia" w:ascii="宋体" w:hAnsi="宋体" w:eastAsia="宋体" w:cs="宋体"/>
                <w:b/>
                <w:sz w:val="18"/>
              </w:rPr>
              <w:t>Δ AUC</w:t>
            </w:r>
          </w:p>
        </w:tc>
      </w:tr>
      <w:tr w14:paraId="70E79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671ACEE4">
            <w:pPr>
              <w:spacing w:after="0" w:line="240" w:lineRule="auto"/>
              <w:rPr>
                <w:rFonts w:hint="eastAsia" w:ascii="宋体" w:hAnsi="宋体" w:eastAsia="宋体" w:cs="宋体"/>
              </w:rPr>
            </w:pPr>
            <w:r>
              <w:rPr>
                <w:rFonts w:hint="eastAsia" w:ascii="宋体" w:hAnsi="宋体" w:eastAsia="宋体" w:cs="宋体"/>
                <w:b w:val="0"/>
                <w:sz w:val="18"/>
              </w:rPr>
              <w:t>TI-RADS：TR2-3</w:t>
            </w:r>
          </w:p>
        </w:tc>
        <w:tc>
          <w:tcPr>
            <w:tcW w:w="1234" w:type="dxa"/>
          </w:tcPr>
          <w:p w14:paraId="28CA97B2">
            <w:pPr>
              <w:spacing w:after="0" w:line="240" w:lineRule="auto"/>
              <w:rPr>
                <w:rFonts w:hint="eastAsia" w:ascii="宋体" w:hAnsi="宋体" w:eastAsia="宋体" w:cs="宋体"/>
              </w:rPr>
            </w:pPr>
            <w:r>
              <w:rPr>
                <w:rFonts w:hint="eastAsia" w:ascii="宋体" w:hAnsi="宋体" w:eastAsia="宋体" w:cs="宋体"/>
                <w:b w:val="0"/>
                <w:sz w:val="18"/>
              </w:rPr>
              <w:t>227</w:t>
            </w:r>
          </w:p>
        </w:tc>
        <w:tc>
          <w:tcPr>
            <w:tcW w:w="1234" w:type="dxa"/>
          </w:tcPr>
          <w:p w14:paraId="49633621">
            <w:pPr>
              <w:spacing w:after="0" w:line="240" w:lineRule="auto"/>
              <w:rPr>
                <w:rFonts w:hint="eastAsia" w:ascii="宋体" w:hAnsi="宋体" w:eastAsia="宋体" w:cs="宋体"/>
              </w:rPr>
            </w:pPr>
            <w:r>
              <w:rPr>
                <w:rFonts w:hint="eastAsia" w:ascii="宋体" w:hAnsi="宋体" w:eastAsia="宋体" w:cs="宋体"/>
                <w:b w:val="0"/>
                <w:sz w:val="18"/>
              </w:rPr>
              <w:t>1.8%</w:t>
            </w:r>
          </w:p>
        </w:tc>
        <w:tc>
          <w:tcPr>
            <w:tcW w:w="1234" w:type="dxa"/>
          </w:tcPr>
          <w:p w14:paraId="05F0489C">
            <w:pPr>
              <w:spacing w:after="0" w:line="240" w:lineRule="auto"/>
              <w:rPr>
                <w:rFonts w:hint="eastAsia" w:ascii="宋体" w:hAnsi="宋体" w:eastAsia="宋体" w:cs="宋体"/>
              </w:rPr>
            </w:pPr>
            <w:r>
              <w:rPr>
                <w:rFonts w:hint="eastAsia" w:ascii="宋体" w:hAnsi="宋体" w:eastAsia="宋体" w:cs="宋体"/>
                <w:b w:val="0"/>
                <w:sz w:val="18"/>
              </w:rPr>
              <w:t>0.883（0.743–1.000）</w:t>
            </w:r>
          </w:p>
        </w:tc>
        <w:tc>
          <w:tcPr>
            <w:tcW w:w="1234" w:type="dxa"/>
          </w:tcPr>
          <w:p w14:paraId="29D49429">
            <w:pPr>
              <w:spacing w:after="0" w:line="240" w:lineRule="auto"/>
              <w:rPr>
                <w:rFonts w:hint="eastAsia" w:ascii="宋体" w:hAnsi="宋体" w:eastAsia="宋体" w:cs="宋体"/>
              </w:rPr>
            </w:pPr>
            <w:r>
              <w:rPr>
                <w:rFonts w:hint="eastAsia" w:ascii="宋体" w:hAnsi="宋体" w:eastAsia="宋体" w:cs="宋体"/>
                <w:b w:val="0"/>
                <w:sz w:val="18"/>
              </w:rPr>
              <w:t>0.740（0.544–0.872）</w:t>
            </w:r>
          </w:p>
        </w:tc>
        <w:tc>
          <w:tcPr>
            <w:tcW w:w="1234" w:type="dxa"/>
          </w:tcPr>
          <w:p w14:paraId="701B1C92">
            <w:pPr>
              <w:spacing w:after="0" w:line="240" w:lineRule="auto"/>
              <w:rPr>
                <w:rFonts w:hint="eastAsia" w:ascii="宋体" w:hAnsi="宋体" w:eastAsia="宋体" w:cs="宋体"/>
              </w:rPr>
            </w:pPr>
            <w:r>
              <w:rPr>
                <w:rFonts w:hint="eastAsia" w:ascii="宋体" w:hAnsi="宋体" w:eastAsia="宋体" w:cs="宋体"/>
                <w:b w:val="0"/>
                <w:sz w:val="18"/>
              </w:rPr>
              <w:t>0.950（0.898–1.000）</w:t>
            </w:r>
          </w:p>
        </w:tc>
        <w:tc>
          <w:tcPr>
            <w:tcW w:w="1234" w:type="dxa"/>
          </w:tcPr>
          <w:p w14:paraId="33901A4A">
            <w:pPr>
              <w:spacing w:after="0" w:line="240" w:lineRule="auto"/>
              <w:rPr>
                <w:rFonts w:hint="eastAsia" w:ascii="宋体" w:hAnsi="宋体" w:eastAsia="宋体" w:cs="宋体"/>
              </w:rPr>
            </w:pPr>
            <w:r>
              <w:rPr>
                <w:rFonts w:hint="eastAsia" w:ascii="宋体" w:hAnsi="宋体" w:eastAsia="宋体" w:cs="宋体"/>
                <w:b w:val="0"/>
                <w:sz w:val="18"/>
              </w:rPr>
              <w:t>+0.066</w:t>
            </w:r>
          </w:p>
        </w:tc>
      </w:tr>
      <w:tr w14:paraId="1D31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6B80B1E">
            <w:pPr>
              <w:spacing w:after="0" w:line="240" w:lineRule="auto"/>
              <w:rPr>
                <w:rFonts w:hint="eastAsia" w:ascii="宋体" w:hAnsi="宋体" w:eastAsia="宋体" w:cs="宋体"/>
              </w:rPr>
            </w:pPr>
            <w:r>
              <w:rPr>
                <w:rFonts w:hint="eastAsia" w:ascii="宋体" w:hAnsi="宋体" w:eastAsia="宋体" w:cs="宋体"/>
                <w:b w:val="0"/>
                <w:sz w:val="18"/>
              </w:rPr>
              <w:t>TI-RADS：TR4</w:t>
            </w:r>
          </w:p>
        </w:tc>
        <w:tc>
          <w:tcPr>
            <w:tcW w:w="1234" w:type="dxa"/>
          </w:tcPr>
          <w:p w14:paraId="5A1A74E7">
            <w:pPr>
              <w:spacing w:after="0" w:line="240" w:lineRule="auto"/>
              <w:rPr>
                <w:rFonts w:hint="eastAsia" w:ascii="宋体" w:hAnsi="宋体" w:eastAsia="宋体" w:cs="宋体"/>
              </w:rPr>
            </w:pPr>
            <w:r>
              <w:rPr>
                <w:rFonts w:hint="eastAsia" w:ascii="宋体" w:hAnsi="宋体" w:eastAsia="宋体" w:cs="宋体"/>
                <w:b w:val="0"/>
                <w:sz w:val="18"/>
              </w:rPr>
              <w:t>215</w:t>
            </w:r>
          </w:p>
        </w:tc>
        <w:tc>
          <w:tcPr>
            <w:tcW w:w="1234" w:type="dxa"/>
          </w:tcPr>
          <w:p w14:paraId="5CC4BA91">
            <w:pPr>
              <w:spacing w:after="0" w:line="240" w:lineRule="auto"/>
              <w:rPr>
                <w:rFonts w:hint="eastAsia" w:ascii="宋体" w:hAnsi="宋体" w:eastAsia="宋体" w:cs="宋体"/>
              </w:rPr>
            </w:pPr>
            <w:r>
              <w:rPr>
                <w:rFonts w:hint="eastAsia" w:ascii="宋体" w:hAnsi="宋体" w:eastAsia="宋体" w:cs="宋体"/>
                <w:b w:val="0"/>
                <w:sz w:val="18"/>
              </w:rPr>
              <w:t>32.1%</w:t>
            </w:r>
          </w:p>
        </w:tc>
        <w:tc>
          <w:tcPr>
            <w:tcW w:w="1234" w:type="dxa"/>
          </w:tcPr>
          <w:p w14:paraId="303C4FD3">
            <w:pPr>
              <w:spacing w:after="0" w:line="240" w:lineRule="auto"/>
              <w:rPr>
                <w:rFonts w:hint="eastAsia" w:ascii="宋体" w:hAnsi="宋体" w:eastAsia="宋体" w:cs="宋体"/>
              </w:rPr>
            </w:pPr>
            <w:r>
              <w:rPr>
                <w:rFonts w:hint="eastAsia" w:ascii="宋体" w:hAnsi="宋体" w:eastAsia="宋体" w:cs="宋体"/>
                <w:b w:val="0"/>
                <w:sz w:val="18"/>
              </w:rPr>
              <w:t>0.823（0.763–0.875）</w:t>
            </w:r>
          </w:p>
        </w:tc>
        <w:tc>
          <w:tcPr>
            <w:tcW w:w="1234" w:type="dxa"/>
          </w:tcPr>
          <w:p w14:paraId="115ED73D">
            <w:pPr>
              <w:spacing w:after="0" w:line="240" w:lineRule="auto"/>
              <w:rPr>
                <w:rFonts w:hint="eastAsia" w:ascii="宋体" w:hAnsi="宋体" w:eastAsia="宋体" w:cs="宋体"/>
              </w:rPr>
            </w:pPr>
            <w:r>
              <w:rPr>
                <w:rFonts w:hint="eastAsia" w:ascii="宋体" w:hAnsi="宋体" w:eastAsia="宋体" w:cs="宋体"/>
                <w:b w:val="0"/>
                <w:sz w:val="18"/>
              </w:rPr>
              <w:t>0.607（0.530–0.686）</w:t>
            </w:r>
          </w:p>
        </w:tc>
        <w:tc>
          <w:tcPr>
            <w:tcW w:w="1234" w:type="dxa"/>
          </w:tcPr>
          <w:p w14:paraId="2B187045">
            <w:pPr>
              <w:spacing w:after="0" w:line="240" w:lineRule="auto"/>
              <w:rPr>
                <w:rFonts w:hint="eastAsia" w:ascii="宋体" w:hAnsi="宋体" w:eastAsia="宋体" w:cs="宋体"/>
              </w:rPr>
            </w:pPr>
            <w:r>
              <w:rPr>
                <w:rFonts w:hint="eastAsia" w:ascii="宋体" w:hAnsi="宋体" w:eastAsia="宋体" w:cs="宋体"/>
                <w:b w:val="0"/>
                <w:sz w:val="18"/>
              </w:rPr>
              <w:t>0.846（0.792–0.893）</w:t>
            </w:r>
          </w:p>
        </w:tc>
        <w:tc>
          <w:tcPr>
            <w:tcW w:w="1234" w:type="dxa"/>
          </w:tcPr>
          <w:p w14:paraId="7D60FABC">
            <w:pPr>
              <w:spacing w:after="0" w:line="240" w:lineRule="auto"/>
              <w:rPr>
                <w:rFonts w:hint="eastAsia" w:ascii="宋体" w:hAnsi="宋体" w:eastAsia="宋体" w:cs="宋体"/>
              </w:rPr>
            </w:pPr>
            <w:r>
              <w:rPr>
                <w:rFonts w:hint="eastAsia" w:ascii="宋体" w:hAnsi="宋体" w:eastAsia="宋体" w:cs="宋体"/>
                <w:b w:val="0"/>
                <w:sz w:val="18"/>
              </w:rPr>
              <w:t>+0.023</w:t>
            </w:r>
          </w:p>
        </w:tc>
      </w:tr>
      <w:tr w14:paraId="29E1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4688F0BF">
            <w:pPr>
              <w:spacing w:after="0" w:line="240" w:lineRule="auto"/>
              <w:rPr>
                <w:rFonts w:hint="eastAsia" w:ascii="宋体" w:hAnsi="宋体" w:eastAsia="宋体" w:cs="宋体"/>
              </w:rPr>
            </w:pPr>
            <w:r>
              <w:rPr>
                <w:rFonts w:hint="eastAsia" w:ascii="宋体" w:hAnsi="宋体" w:eastAsia="宋体" w:cs="宋体"/>
                <w:b w:val="0"/>
                <w:sz w:val="18"/>
              </w:rPr>
              <w:t>TI-RADS：TR5</w:t>
            </w:r>
          </w:p>
        </w:tc>
        <w:tc>
          <w:tcPr>
            <w:tcW w:w="1234" w:type="dxa"/>
          </w:tcPr>
          <w:p w14:paraId="2F676446">
            <w:pPr>
              <w:spacing w:after="0" w:line="240" w:lineRule="auto"/>
              <w:rPr>
                <w:rFonts w:hint="eastAsia" w:ascii="宋体" w:hAnsi="宋体" w:eastAsia="宋体" w:cs="宋体"/>
              </w:rPr>
            </w:pPr>
            <w:r>
              <w:rPr>
                <w:rFonts w:hint="eastAsia" w:ascii="宋体" w:hAnsi="宋体" w:eastAsia="宋体" w:cs="宋体"/>
                <w:b w:val="0"/>
                <w:sz w:val="18"/>
              </w:rPr>
              <w:t>297</w:t>
            </w:r>
          </w:p>
        </w:tc>
        <w:tc>
          <w:tcPr>
            <w:tcW w:w="1234" w:type="dxa"/>
          </w:tcPr>
          <w:p w14:paraId="584E0E0C">
            <w:pPr>
              <w:spacing w:after="0" w:line="240" w:lineRule="auto"/>
              <w:rPr>
                <w:rFonts w:hint="eastAsia" w:ascii="宋体" w:hAnsi="宋体" w:eastAsia="宋体" w:cs="宋体"/>
              </w:rPr>
            </w:pPr>
            <w:r>
              <w:rPr>
                <w:rFonts w:hint="eastAsia" w:ascii="宋体" w:hAnsi="宋体" w:eastAsia="宋体" w:cs="宋体"/>
                <w:b w:val="0"/>
                <w:sz w:val="18"/>
              </w:rPr>
              <w:t>94.3%</w:t>
            </w:r>
          </w:p>
        </w:tc>
        <w:tc>
          <w:tcPr>
            <w:tcW w:w="1234" w:type="dxa"/>
          </w:tcPr>
          <w:p w14:paraId="08549FEA">
            <w:pPr>
              <w:spacing w:after="0" w:line="240" w:lineRule="auto"/>
              <w:rPr>
                <w:rFonts w:hint="eastAsia" w:ascii="宋体" w:hAnsi="宋体" w:eastAsia="宋体" w:cs="宋体"/>
              </w:rPr>
            </w:pPr>
            <w:r>
              <w:rPr>
                <w:rFonts w:hint="eastAsia" w:ascii="宋体" w:hAnsi="宋体" w:eastAsia="宋体" w:cs="宋体"/>
                <w:b w:val="0"/>
                <w:sz w:val="18"/>
              </w:rPr>
              <w:t>0.760（0.675–0.844）</w:t>
            </w:r>
          </w:p>
        </w:tc>
        <w:tc>
          <w:tcPr>
            <w:tcW w:w="1234" w:type="dxa"/>
          </w:tcPr>
          <w:p w14:paraId="4CF01602">
            <w:pPr>
              <w:spacing w:after="0" w:line="240" w:lineRule="auto"/>
              <w:rPr>
                <w:rFonts w:hint="eastAsia" w:ascii="宋体" w:hAnsi="宋体" w:eastAsia="宋体" w:cs="宋体"/>
              </w:rPr>
            </w:pPr>
            <w:r>
              <w:rPr>
                <w:rFonts w:hint="eastAsia" w:ascii="宋体" w:hAnsi="宋体" w:eastAsia="宋体" w:cs="宋体"/>
                <w:b w:val="0"/>
                <w:sz w:val="18"/>
              </w:rPr>
              <w:t>0.540（0.411–0.671）</w:t>
            </w:r>
          </w:p>
        </w:tc>
        <w:tc>
          <w:tcPr>
            <w:tcW w:w="1234" w:type="dxa"/>
          </w:tcPr>
          <w:p w14:paraId="126CC918">
            <w:pPr>
              <w:spacing w:after="0" w:line="240" w:lineRule="auto"/>
              <w:rPr>
                <w:rFonts w:hint="eastAsia" w:ascii="宋体" w:hAnsi="宋体" w:eastAsia="宋体" w:cs="宋体"/>
              </w:rPr>
            </w:pPr>
            <w:r>
              <w:rPr>
                <w:rFonts w:hint="eastAsia" w:ascii="宋体" w:hAnsi="宋体" w:eastAsia="宋体" w:cs="宋体"/>
                <w:b w:val="0"/>
                <w:sz w:val="18"/>
              </w:rPr>
              <w:t>0.753（0.655–0.844）</w:t>
            </w:r>
          </w:p>
        </w:tc>
        <w:tc>
          <w:tcPr>
            <w:tcW w:w="1234" w:type="dxa"/>
          </w:tcPr>
          <w:p w14:paraId="51A15021">
            <w:pPr>
              <w:spacing w:after="0" w:line="240" w:lineRule="auto"/>
              <w:rPr>
                <w:rFonts w:hint="eastAsia" w:ascii="宋体" w:hAnsi="宋体" w:eastAsia="宋体" w:cs="宋体"/>
              </w:rPr>
            </w:pPr>
            <w:r>
              <w:rPr>
                <w:rFonts w:hint="eastAsia" w:ascii="宋体" w:hAnsi="宋体" w:eastAsia="宋体" w:cs="宋体"/>
                <w:b w:val="0"/>
                <w:sz w:val="18"/>
              </w:rPr>
              <w:t>−0.007</w:t>
            </w:r>
          </w:p>
        </w:tc>
      </w:tr>
      <w:tr w14:paraId="3AF2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7232DE24">
            <w:pPr>
              <w:spacing w:after="0" w:line="240" w:lineRule="auto"/>
              <w:rPr>
                <w:rFonts w:hint="eastAsia" w:ascii="宋体" w:hAnsi="宋体" w:eastAsia="宋体" w:cs="宋体"/>
              </w:rPr>
            </w:pPr>
            <w:r>
              <w:rPr>
                <w:rFonts w:hint="eastAsia" w:ascii="宋体" w:hAnsi="宋体" w:eastAsia="宋体" w:cs="宋体"/>
                <w:b w:val="0"/>
                <w:sz w:val="18"/>
              </w:rPr>
              <w:t>结节大小：≤10 mm</w:t>
            </w:r>
          </w:p>
        </w:tc>
        <w:tc>
          <w:tcPr>
            <w:tcW w:w="1234" w:type="dxa"/>
          </w:tcPr>
          <w:p w14:paraId="23A76F66">
            <w:pPr>
              <w:spacing w:after="0" w:line="240" w:lineRule="auto"/>
              <w:rPr>
                <w:rFonts w:hint="eastAsia" w:ascii="宋体" w:hAnsi="宋体" w:eastAsia="宋体" w:cs="宋体"/>
              </w:rPr>
            </w:pPr>
            <w:r>
              <w:rPr>
                <w:rFonts w:hint="eastAsia" w:ascii="宋体" w:hAnsi="宋体" w:eastAsia="宋体" w:cs="宋体"/>
                <w:b w:val="0"/>
                <w:sz w:val="18"/>
              </w:rPr>
              <w:t>364</w:t>
            </w:r>
          </w:p>
        </w:tc>
        <w:tc>
          <w:tcPr>
            <w:tcW w:w="1234" w:type="dxa"/>
          </w:tcPr>
          <w:p w14:paraId="2F5B0AA2">
            <w:pPr>
              <w:spacing w:after="0" w:line="240" w:lineRule="auto"/>
              <w:rPr>
                <w:rFonts w:hint="eastAsia" w:ascii="宋体" w:hAnsi="宋体" w:eastAsia="宋体" w:cs="宋体"/>
              </w:rPr>
            </w:pPr>
            <w:r>
              <w:rPr>
                <w:rFonts w:hint="eastAsia" w:ascii="宋体" w:hAnsi="宋体" w:eastAsia="宋体" w:cs="宋体"/>
                <w:b w:val="0"/>
                <w:sz w:val="18"/>
              </w:rPr>
              <w:t>61.8%</w:t>
            </w:r>
          </w:p>
        </w:tc>
        <w:tc>
          <w:tcPr>
            <w:tcW w:w="1234" w:type="dxa"/>
          </w:tcPr>
          <w:p w14:paraId="31187864">
            <w:pPr>
              <w:spacing w:after="0" w:line="240" w:lineRule="auto"/>
              <w:rPr>
                <w:rFonts w:hint="eastAsia" w:ascii="宋体" w:hAnsi="宋体" w:eastAsia="宋体" w:cs="宋体"/>
              </w:rPr>
            </w:pPr>
            <w:r>
              <w:rPr>
                <w:rFonts w:hint="eastAsia" w:ascii="宋体" w:hAnsi="宋体" w:eastAsia="宋体" w:cs="宋体"/>
                <w:b w:val="0"/>
                <w:sz w:val="18"/>
              </w:rPr>
              <w:t>0.868（0.829–0.906）</w:t>
            </w:r>
          </w:p>
        </w:tc>
        <w:tc>
          <w:tcPr>
            <w:tcW w:w="1234" w:type="dxa"/>
          </w:tcPr>
          <w:p w14:paraId="544D02BB">
            <w:pPr>
              <w:spacing w:after="0" w:line="240" w:lineRule="auto"/>
              <w:rPr>
                <w:rFonts w:hint="eastAsia" w:ascii="宋体" w:hAnsi="宋体" w:eastAsia="宋体" w:cs="宋体"/>
              </w:rPr>
            </w:pPr>
            <w:r>
              <w:rPr>
                <w:rFonts w:hint="eastAsia" w:ascii="宋体" w:hAnsi="宋体" w:eastAsia="宋体" w:cs="宋体"/>
                <w:b w:val="0"/>
                <w:sz w:val="18"/>
              </w:rPr>
              <w:t>0.784（0.732–0.837）</w:t>
            </w:r>
          </w:p>
        </w:tc>
        <w:tc>
          <w:tcPr>
            <w:tcW w:w="1234" w:type="dxa"/>
          </w:tcPr>
          <w:p w14:paraId="26BADFEF">
            <w:pPr>
              <w:spacing w:after="0" w:line="240" w:lineRule="auto"/>
              <w:rPr>
                <w:rFonts w:hint="eastAsia" w:ascii="宋体" w:hAnsi="宋体" w:eastAsia="宋体" w:cs="宋体"/>
              </w:rPr>
            </w:pPr>
            <w:r>
              <w:rPr>
                <w:rFonts w:hint="eastAsia" w:ascii="宋体" w:hAnsi="宋体" w:eastAsia="宋体" w:cs="宋体"/>
                <w:b w:val="0"/>
                <w:sz w:val="18"/>
              </w:rPr>
              <w:t>0.878（0.840–0.917）</w:t>
            </w:r>
          </w:p>
        </w:tc>
        <w:tc>
          <w:tcPr>
            <w:tcW w:w="1234" w:type="dxa"/>
          </w:tcPr>
          <w:p w14:paraId="79018CC3">
            <w:pPr>
              <w:spacing w:after="0" w:line="240" w:lineRule="auto"/>
              <w:rPr>
                <w:rFonts w:hint="eastAsia" w:ascii="宋体" w:hAnsi="宋体" w:eastAsia="宋体" w:cs="宋体"/>
              </w:rPr>
            </w:pPr>
            <w:r>
              <w:rPr>
                <w:rFonts w:hint="eastAsia" w:ascii="宋体" w:hAnsi="宋体" w:eastAsia="宋体" w:cs="宋体"/>
                <w:b w:val="0"/>
                <w:sz w:val="18"/>
              </w:rPr>
              <w:t>+0.010</w:t>
            </w:r>
          </w:p>
        </w:tc>
      </w:tr>
      <w:tr w14:paraId="01E6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DFC122C">
            <w:pPr>
              <w:spacing w:after="0" w:line="240" w:lineRule="auto"/>
              <w:rPr>
                <w:rFonts w:hint="eastAsia" w:ascii="宋体" w:hAnsi="宋体" w:eastAsia="宋体" w:cs="宋体"/>
              </w:rPr>
            </w:pPr>
            <w:r>
              <w:rPr>
                <w:rFonts w:hint="eastAsia" w:ascii="宋体" w:hAnsi="宋体" w:eastAsia="宋体" w:cs="宋体"/>
                <w:b w:val="0"/>
                <w:sz w:val="18"/>
              </w:rPr>
              <w:t>结节大小：10–20 mm</w:t>
            </w:r>
          </w:p>
        </w:tc>
        <w:tc>
          <w:tcPr>
            <w:tcW w:w="1234" w:type="dxa"/>
          </w:tcPr>
          <w:p w14:paraId="6D435268">
            <w:pPr>
              <w:spacing w:after="0" w:line="240" w:lineRule="auto"/>
              <w:rPr>
                <w:rFonts w:hint="eastAsia" w:ascii="宋体" w:hAnsi="宋体" w:eastAsia="宋体" w:cs="宋体"/>
              </w:rPr>
            </w:pPr>
            <w:r>
              <w:rPr>
                <w:rFonts w:hint="eastAsia" w:ascii="宋体" w:hAnsi="宋体" w:eastAsia="宋体" w:cs="宋体"/>
                <w:b w:val="0"/>
                <w:sz w:val="18"/>
              </w:rPr>
              <w:t>238</w:t>
            </w:r>
          </w:p>
        </w:tc>
        <w:tc>
          <w:tcPr>
            <w:tcW w:w="1234" w:type="dxa"/>
          </w:tcPr>
          <w:p w14:paraId="2C4D87D3">
            <w:pPr>
              <w:spacing w:after="0" w:line="240" w:lineRule="auto"/>
              <w:rPr>
                <w:rFonts w:hint="eastAsia" w:ascii="宋体" w:hAnsi="宋体" w:eastAsia="宋体" w:cs="宋体"/>
              </w:rPr>
            </w:pPr>
            <w:r>
              <w:rPr>
                <w:rFonts w:hint="eastAsia" w:ascii="宋体" w:hAnsi="宋体" w:eastAsia="宋体" w:cs="宋体"/>
                <w:b w:val="0"/>
                <w:sz w:val="18"/>
              </w:rPr>
              <w:t>44.1%</w:t>
            </w:r>
          </w:p>
        </w:tc>
        <w:tc>
          <w:tcPr>
            <w:tcW w:w="1234" w:type="dxa"/>
          </w:tcPr>
          <w:p w14:paraId="489D1E3A">
            <w:pPr>
              <w:spacing w:after="0" w:line="240" w:lineRule="auto"/>
              <w:rPr>
                <w:rFonts w:hint="eastAsia" w:ascii="宋体" w:hAnsi="宋体" w:eastAsia="宋体" w:cs="宋体"/>
              </w:rPr>
            </w:pPr>
            <w:r>
              <w:rPr>
                <w:rFonts w:hint="eastAsia" w:ascii="宋体" w:hAnsi="宋体" w:eastAsia="宋体" w:cs="宋体"/>
                <w:b w:val="0"/>
                <w:sz w:val="18"/>
              </w:rPr>
              <w:t>0.970（0.952–0.984）</w:t>
            </w:r>
          </w:p>
        </w:tc>
        <w:tc>
          <w:tcPr>
            <w:tcW w:w="1234" w:type="dxa"/>
          </w:tcPr>
          <w:p w14:paraId="16FD89F8">
            <w:pPr>
              <w:spacing w:after="0" w:line="240" w:lineRule="auto"/>
              <w:rPr>
                <w:rFonts w:hint="eastAsia" w:ascii="宋体" w:hAnsi="宋体" w:eastAsia="宋体" w:cs="宋体"/>
              </w:rPr>
            </w:pPr>
            <w:r>
              <w:rPr>
                <w:rFonts w:hint="eastAsia" w:ascii="宋体" w:hAnsi="宋体" w:eastAsia="宋体" w:cs="宋体"/>
                <w:b w:val="0"/>
                <w:sz w:val="18"/>
              </w:rPr>
              <w:t>0.854（0.807–0.899）</w:t>
            </w:r>
          </w:p>
        </w:tc>
        <w:tc>
          <w:tcPr>
            <w:tcW w:w="1234" w:type="dxa"/>
          </w:tcPr>
          <w:p w14:paraId="0B1BF5A7">
            <w:pPr>
              <w:spacing w:after="0" w:line="240" w:lineRule="auto"/>
              <w:rPr>
                <w:rFonts w:hint="eastAsia" w:ascii="宋体" w:hAnsi="宋体" w:eastAsia="宋体" w:cs="宋体"/>
              </w:rPr>
            </w:pPr>
            <w:r>
              <w:rPr>
                <w:rFonts w:hint="eastAsia" w:ascii="宋体" w:hAnsi="宋体" w:eastAsia="宋体" w:cs="宋体"/>
                <w:b w:val="0"/>
                <w:sz w:val="18"/>
              </w:rPr>
              <w:t>0.979（0.964–0.990）</w:t>
            </w:r>
          </w:p>
        </w:tc>
        <w:tc>
          <w:tcPr>
            <w:tcW w:w="1234" w:type="dxa"/>
          </w:tcPr>
          <w:p w14:paraId="1589E4F4">
            <w:pPr>
              <w:spacing w:after="0" w:line="240" w:lineRule="auto"/>
              <w:rPr>
                <w:rFonts w:hint="eastAsia" w:ascii="宋体" w:hAnsi="宋体" w:eastAsia="宋体" w:cs="宋体"/>
              </w:rPr>
            </w:pPr>
            <w:r>
              <w:rPr>
                <w:rFonts w:hint="eastAsia" w:ascii="宋体" w:hAnsi="宋体" w:eastAsia="宋体" w:cs="宋体"/>
                <w:b w:val="0"/>
                <w:sz w:val="18"/>
              </w:rPr>
              <w:t>+0.008</w:t>
            </w:r>
          </w:p>
        </w:tc>
      </w:tr>
      <w:tr w14:paraId="3655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40E9EE08">
            <w:pPr>
              <w:spacing w:after="0" w:line="240" w:lineRule="auto"/>
              <w:rPr>
                <w:rFonts w:hint="eastAsia" w:ascii="宋体" w:hAnsi="宋体" w:eastAsia="宋体" w:cs="宋体"/>
              </w:rPr>
            </w:pPr>
            <w:r>
              <w:rPr>
                <w:rFonts w:hint="eastAsia" w:ascii="宋体" w:hAnsi="宋体" w:eastAsia="宋体" w:cs="宋体"/>
                <w:b w:val="0"/>
                <w:sz w:val="18"/>
              </w:rPr>
              <w:t>结节大小：&gt;20 mm</w:t>
            </w:r>
          </w:p>
        </w:tc>
        <w:tc>
          <w:tcPr>
            <w:tcW w:w="1234" w:type="dxa"/>
          </w:tcPr>
          <w:p w14:paraId="0ADBDE88">
            <w:pPr>
              <w:spacing w:after="0" w:line="240" w:lineRule="auto"/>
              <w:rPr>
                <w:rFonts w:hint="eastAsia" w:ascii="宋体" w:hAnsi="宋体" w:eastAsia="宋体" w:cs="宋体"/>
              </w:rPr>
            </w:pPr>
            <w:r>
              <w:rPr>
                <w:rFonts w:hint="eastAsia" w:ascii="宋体" w:hAnsi="宋体" w:eastAsia="宋体" w:cs="宋体"/>
                <w:b w:val="0"/>
                <w:sz w:val="18"/>
              </w:rPr>
              <w:t>137</w:t>
            </w:r>
          </w:p>
        </w:tc>
        <w:tc>
          <w:tcPr>
            <w:tcW w:w="1234" w:type="dxa"/>
          </w:tcPr>
          <w:p w14:paraId="6ED50F68">
            <w:pPr>
              <w:spacing w:after="0" w:line="240" w:lineRule="auto"/>
              <w:rPr>
                <w:rFonts w:hint="eastAsia" w:ascii="宋体" w:hAnsi="宋体" w:eastAsia="宋体" w:cs="宋体"/>
              </w:rPr>
            </w:pPr>
            <w:r>
              <w:rPr>
                <w:rFonts w:hint="eastAsia" w:ascii="宋体" w:hAnsi="宋体" w:eastAsia="宋体" w:cs="宋体"/>
                <w:b w:val="0"/>
                <w:sz w:val="18"/>
              </w:rPr>
              <w:t>16.8%</w:t>
            </w:r>
          </w:p>
        </w:tc>
        <w:tc>
          <w:tcPr>
            <w:tcW w:w="1234" w:type="dxa"/>
          </w:tcPr>
          <w:p w14:paraId="525A12E7">
            <w:pPr>
              <w:spacing w:after="0" w:line="240" w:lineRule="auto"/>
              <w:rPr>
                <w:rFonts w:hint="eastAsia" w:ascii="宋体" w:hAnsi="宋体" w:eastAsia="宋体" w:cs="宋体"/>
              </w:rPr>
            </w:pPr>
            <w:r>
              <w:rPr>
                <w:rFonts w:hint="eastAsia" w:ascii="宋体" w:hAnsi="宋体" w:eastAsia="宋体" w:cs="宋体"/>
                <w:b w:val="0"/>
                <w:sz w:val="18"/>
              </w:rPr>
              <w:t>0.966（0.911–0.997）</w:t>
            </w:r>
          </w:p>
        </w:tc>
        <w:tc>
          <w:tcPr>
            <w:tcW w:w="1234" w:type="dxa"/>
          </w:tcPr>
          <w:p w14:paraId="295AE504">
            <w:pPr>
              <w:spacing w:after="0" w:line="240" w:lineRule="auto"/>
              <w:rPr>
                <w:rFonts w:hint="eastAsia" w:ascii="宋体" w:hAnsi="宋体" w:eastAsia="宋体" w:cs="宋体"/>
              </w:rPr>
            </w:pPr>
            <w:r>
              <w:rPr>
                <w:rFonts w:hint="eastAsia" w:ascii="宋体" w:hAnsi="宋体" w:eastAsia="宋体" w:cs="宋体"/>
                <w:b w:val="0"/>
                <w:sz w:val="18"/>
              </w:rPr>
              <w:t>0.693（0.564–0.808）</w:t>
            </w:r>
          </w:p>
        </w:tc>
        <w:tc>
          <w:tcPr>
            <w:tcW w:w="1234" w:type="dxa"/>
          </w:tcPr>
          <w:p w14:paraId="4F1B5CED">
            <w:pPr>
              <w:spacing w:after="0" w:line="240" w:lineRule="auto"/>
              <w:rPr>
                <w:rFonts w:hint="eastAsia" w:ascii="宋体" w:hAnsi="宋体" w:eastAsia="宋体" w:cs="宋体"/>
              </w:rPr>
            </w:pPr>
            <w:r>
              <w:rPr>
                <w:rFonts w:hint="eastAsia" w:ascii="宋体" w:hAnsi="宋体" w:eastAsia="宋体" w:cs="宋体"/>
                <w:b w:val="0"/>
                <w:sz w:val="18"/>
              </w:rPr>
              <w:t>0.953（0.864–0.999）</w:t>
            </w:r>
          </w:p>
        </w:tc>
        <w:tc>
          <w:tcPr>
            <w:tcW w:w="1234" w:type="dxa"/>
          </w:tcPr>
          <w:p w14:paraId="3264FACC">
            <w:pPr>
              <w:spacing w:after="0" w:line="240" w:lineRule="auto"/>
              <w:rPr>
                <w:rFonts w:hint="eastAsia" w:ascii="宋体" w:hAnsi="宋体" w:eastAsia="宋体" w:cs="宋体"/>
              </w:rPr>
            </w:pPr>
            <w:r>
              <w:rPr>
                <w:rFonts w:hint="eastAsia" w:ascii="宋体" w:hAnsi="宋体" w:eastAsia="宋体" w:cs="宋体"/>
                <w:b w:val="0"/>
                <w:sz w:val="18"/>
              </w:rPr>
              <w:t>−0.013</w:t>
            </w:r>
          </w:p>
        </w:tc>
      </w:tr>
      <w:tr w14:paraId="7CB0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35F0349E">
            <w:pPr>
              <w:spacing w:after="0" w:line="240" w:lineRule="auto"/>
              <w:rPr>
                <w:rFonts w:hint="eastAsia" w:ascii="宋体" w:hAnsi="宋体" w:eastAsia="宋体" w:cs="宋体"/>
              </w:rPr>
            </w:pPr>
            <w:r>
              <w:rPr>
                <w:rFonts w:hint="eastAsia" w:ascii="宋体" w:hAnsi="宋体" w:eastAsia="宋体" w:cs="宋体"/>
                <w:b w:val="0"/>
                <w:sz w:val="18"/>
              </w:rPr>
              <w:t>年龄（岁）：&lt;45</w:t>
            </w:r>
          </w:p>
        </w:tc>
        <w:tc>
          <w:tcPr>
            <w:tcW w:w="1234" w:type="dxa"/>
          </w:tcPr>
          <w:p w14:paraId="2F533612">
            <w:pPr>
              <w:spacing w:after="0" w:line="240" w:lineRule="auto"/>
              <w:rPr>
                <w:rFonts w:hint="eastAsia" w:ascii="宋体" w:hAnsi="宋体" w:eastAsia="宋体" w:cs="宋体"/>
              </w:rPr>
            </w:pPr>
            <w:r>
              <w:rPr>
                <w:rFonts w:hint="eastAsia" w:ascii="宋体" w:hAnsi="宋体" w:eastAsia="宋体" w:cs="宋体"/>
                <w:b w:val="0"/>
                <w:sz w:val="18"/>
              </w:rPr>
              <w:t>309</w:t>
            </w:r>
          </w:p>
        </w:tc>
        <w:tc>
          <w:tcPr>
            <w:tcW w:w="1234" w:type="dxa"/>
          </w:tcPr>
          <w:p w14:paraId="5389C7D4">
            <w:pPr>
              <w:spacing w:after="0" w:line="240" w:lineRule="auto"/>
              <w:rPr>
                <w:rFonts w:hint="eastAsia" w:ascii="宋体" w:hAnsi="宋体" w:eastAsia="宋体" w:cs="宋体"/>
              </w:rPr>
            </w:pPr>
            <w:r>
              <w:rPr>
                <w:rFonts w:hint="eastAsia" w:ascii="宋体" w:hAnsi="宋体" w:eastAsia="宋体" w:cs="宋体"/>
                <w:b w:val="0"/>
                <w:sz w:val="18"/>
              </w:rPr>
              <w:t>55.7%</w:t>
            </w:r>
          </w:p>
        </w:tc>
        <w:tc>
          <w:tcPr>
            <w:tcW w:w="1234" w:type="dxa"/>
          </w:tcPr>
          <w:p w14:paraId="644BF9E2">
            <w:pPr>
              <w:spacing w:after="0" w:line="240" w:lineRule="auto"/>
              <w:rPr>
                <w:rFonts w:hint="eastAsia" w:ascii="宋体" w:hAnsi="宋体" w:eastAsia="宋体" w:cs="宋体"/>
              </w:rPr>
            </w:pPr>
            <w:r>
              <w:rPr>
                <w:rFonts w:hint="eastAsia" w:ascii="宋体" w:hAnsi="宋体" w:eastAsia="宋体" w:cs="宋体"/>
                <w:b w:val="0"/>
                <w:sz w:val="18"/>
              </w:rPr>
              <w:t>0.925（0.896–0.951）</w:t>
            </w:r>
          </w:p>
        </w:tc>
        <w:tc>
          <w:tcPr>
            <w:tcW w:w="1234" w:type="dxa"/>
          </w:tcPr>
          <w:p w14:paraId="6A0F6287">
            <w:pPr>
              <w:spacing w:after="0" w:line="240" w:lineRule="auto"/>
              <w:rPr>
                <w:rFonts w:hint="eastAsia" w:ascii="宋体" w:hAnsi="宋体" w:eastAsia="宋体" w:cs="宋体"/>
              </w:rPr>
            </w:pPr>
            <w:r>
              <w:rPr>
                <w:rFonts w:hint="eastAsia" w:ascii="宋体" w:hAnsi="宋体" w:eastAsia="宋体" w:cs="宋体"/>
                <w:b w:val="0"/>
                <w:sz w:val="18"/>
              </w:rPr>
              <w:t>0.766（0.701–0.821）</w:t>
            </w:r>
          </w:p>
        </w:tc>
        <w:tc>
          <w:tcPr>
            <w:tcW w:w="1234" w:type="dxa"/>
          </w:tcPr>
          <w:p w14:paraId="2C81EA26">
            <w:pPr>
              <w:spacing w:after="0" w:line="240" w:lineRule="auto"/>
              <w:rPr>
                <w:rFonts w:hint="eastAsia" w:ascii="宋体" w:hAnsi="宋体" w:eastAsia="宋体" w:cs="宋体"/>
              </w:rPr>
            </w:pPr>
            <w:r>
              <w:rPr>
                <w:rFonts w:hint="eastAsia" w:ascii="宋体" w:hAnsi="宋体" w:eastAsia="宋体" w:cs="宋体"/>
                <w:b w:val="0"/>
                <w:sz w:val="18"/>
              </w:rPr>
              <w:t>0.927（0.898–0.953）</w:t>
            </w:r>
          </w:p>
        </w:tc>
        <w:tc>
          <w:tcPr>
            <w:tcW w:w="1234" w:type="dxa"/>
          </w:tcPr>
          <w:p w14:paraId="62350BC4">
            <w:pPr>
              <w:spacing w:after="0" w:line="240" w:lineRule="auto"/>
              <w:rPr>
                <w:rFonts w:hint="eastAsia" w:ascii="宋体" w:hAnsi="宋体" w:eastAsia="宋体" w:cs="宋体"/>
              </w:rPr>
            </w:pPr>
            <w:r>
              <w:rPr>
                <w:rFonts w:hint="eastAsia" w:ascii="宋体" w:hAnsi="宋体" w:eastAsia="宋体" w:cs="宋体"/>
                <w:b w:val="0"/>
                <w:sz w:val="18"/>
              </w:rPr>
              <w:t>+0.003</w:t>
            </w:r>
          </w:p>
        </w:tc>
      </w:tr>
      <w:tr w14:paraId="28725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79424D1F">
            <w:pPr>
              <w:spacing w:after="0" w:line="240" w:lineRule="auto"/>
              <w:rPr>
                <w:rFonts w:hint="eastAsia" w:ascii="宋体" w:hAnsi="宋体" w:eastAsia="宋体" w:cs="宋体"/>
              </w:rPr>
            </w:pPr>
            <w:r>
              <w:rPr>
                <w:rFonts w:hint="eastAsia" w:ascii="宋体" w:hAnsi="宋体" w:eastAsia="宋体" w:cs="宋体"/>
                <w:b w:val="0"/>
                <w:sz w:val="18"/>
              </w:rPr>
              <w:t>年龄（岁）：45–60</w:t>
            </w:r>
          </w:p>
        </w:tc>
        <w:tc>
          <w:tcPr>
            <w:tcW w:w="1234" w:type="dxa"/>
          </w:tcPr>
          <w:p w14:paraId="7B483845">
            <w:pPr>
              <w:spacing w:after="0" w:line="240" w:lineRule="auto"/>
              <w:rPr>
                <w:rFonts w:hint="eastAsia" w:ascii="宋体" w:hAnsi="宋体" w:eastAsia="宋体" w:cs="宋体"/>
              </w:rPr>
            </w:pPr>
            <w:r>
              <w:rPr>
                <w:rFonts w:hint="eastAsia" w:ascii="宋体" w:hAnsi="宋体" w:eastAsia="宋体" w:cs="宋体"/>
                <w:b w:val="0"/>
                <w:sz w:val="18"/>
              </w:rPr>
              <w:t>274</w:t>
            </w:r>
          </w:p>
        </w:tc>
        <w:tc>
          <w:tcPr>
            <w:tcW w:w="1234" w:type="dxa"/>
          </w:tcPr>
          <w:p w14:paraId="0ACB3195">
            <w:pPr>
              <w:spacing w:after="0" w:line="240" w:lineRule="auto"/>
              <w:rPr>
                <w:rFonts w:hint="eastAsia" w:ascii="宋体" w:hAnsi="宋体" w:eastAsia="宋体" w:cs="宋体"/>
              </w:rPr>
            </w:pPr>
            <w:r>
              <w:rPr>
                <w:rFonts w:hint="eastAsia" w:ascii="宋体" w:hAnsi="宋体" w:eastAsia="宋体" w:cs="宋体"/>
                <w:b w:val="0"/>
                <w:sz w:val="18"/>
              </w:rPr>
              <w:t>50.0%</w:t>
            </w:r>
          </w:p>
        </w:tc>
        <w:tc>
          <w:tcPr>
            <w:tcW w:w="1234" w:type="dxa"/>
          </w:tcPr>
          <w:p w14:paraId="3406BB17">
            <w:pPr>
              <w:spacing w:after="0" w:line="240" w:lineRule="auto"/>
              <w:rPr>
                <w:rFonts w:hint="eastAsia" w:ascii="宋体" w:hAnsi="宋体" w:eastAsia="宋体" w:cs="宋体"/>
              </w:rPr>
            </w:pPr>
            <w:r>
              <w:rPr>
                <w:rFonts w:hint="eastAsia" w:ascii="宋体" w:hAnsi="宋体" w:eastAsia="宋体" w:cs="宋体"/>
                <w:b w:val="0"/>
                <w:sz w:val="18"/>
              </w:rPr>
              <w:t>0.945（0.921–0.968）</w:t>
            </w:r>
          </w:p>
        </w:tc>
        <w:tc>
          <w:tcPr>
            <w:tcW w:w="1234" w:type="dxa"/>
          </w:tcPr>
          <w:p w14:paraId="1044EE17">
            <w:pPr>
              <w:spacing w:after="0" w:line="240" w:lineRule="auto"/>
              <w:rPr>
                <w:rFonts w:hint="eastAsia" w:ascii="宋体" w:hAnsi="宋体" w:eastAsia="宋体" w:cs="宋体"/>
              </w:rPr>
            </w:pPr>
            <w:r>
              <w:rPr>
                <w:rFonts w:hint="eastAsia" w:ascii="宋体" w:hAnsi="宋体" w:eastAsia="宋体" w:cs="宋体"/>
                <w:b w:val="0"/>
                <w:sz w:val="18"/>
              </w:rPr>
              <w:t>0.846（0.798–0.891）</w:t>
            </w:r>
          </w:p>
        </w:tc>
        <w:tc>
          <w:tcPr>
            <w:tcW w:w="1234" w:type="dxa"/>
          </w:tcPr>
          <w:p w14:paraId="3B32E1E1">
            <w:pPr>
              <w:spacing w:after="0" w:line="240" w:lineRule="auto"/>
              <w:rPr>
                <w:rFonts w:hint="eastAsia" w:ascii="宋体" w:hAnsi="宋体" w:eastAsia="宋体" w:cs="宋体"/>
              </w:rPr>
            </w:pPr>
            <w:r>
              <w:rPr>
                <w:rFonts w:hint="eastAsia" w:ascii="宋体" w:hAnsi="宋体" w:eastAsia="宋体" w:cs="宋体"/>
                <w:b w:val="0"/>
                <w:sz w:val="18"/>
              </w:rPr>
              <w:t>0.954（0.931–0.975）</w:t>
            </w:r>
          </w:p>
        </w:tc>
        <w:tc>
          <w:tcPr>
            <w:tcW w:w="1234" w:type="dxa"/>
          </w:tcPr>
          <w:p w14:paraId="64997B87">
            <w:pPr>
              <w:spacing w:after="0" w:line="240" w:lineRule="auto"/>
              <w:rPr>
                <w:rFonts w:hint="eastAsia" w:ascii="宋体" w:hAnsi="宋体" w:eastAsia="宋体" w:cs="宋体"/>
              </w:rPr>
            </w:pPr>
            <w:r>
              <w:rPr>
                <w:rFonts w:hint="eastAsia" w:ascii="宋体" w:hAnsi="宋体" w:eastAsia="宋体" w:cs="宋体"/>
                <w:b w:val="0"/>
                <w:sz w:val="18"/>
              </w:rPr>
              <w:t>+0.008</w:t>
            </w:r>
          </w:p>
        </w:tc>
      </w:tr>
      <w:tr w14:paraId="623F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6916C164">
            <w:pPr>
              <w:spacing w:after="0" w:line="240" w:lineRule="auto"/>
              <w:rPr>
                <w:rFonts w:hint="eastAsia" w:ascii="宋体" w:hAnsi="宋体" w:eastAsia="宋体" w:cs="宋体"/>
              </w:rPr>
            </w:pPr>
            <w:r>
              <w:rPr>
                <w:rFonts w:hint="eastAsia" w:ascii="宋体" w:hAnsi="宋体" w:eastAsia="宋体" w:cs="宋体"/>
                <w:b w:val="0"/>
                <w:sz w:val="18"/>
              </w:rPr>
              <w:t>年龄（岁）：≥60</w:t>
            </w:r>
          </w:p>
        </w:tc>
        <w:tc>
          <w:tcPr>
            <w:tcW w:w="1234" w:type="dxa"/>
          </w:tcPr>
          <w:p w14:paraId="44B62BF9">
            <w:pPr>
              <w:spacing w:after="0" w:line="240" w:lineRule="auto"/>
              <w:rPr>
                <w:rFonts w:hint="eastAsia" w:ascii="宋体" w:hAnsi="宋体" w:eastAsia="宋体" w:cs="宋体"/>
              </w:rPr>
            </w:pPr>
            <w:r>
              <w:rPr>
                <w:rFonts w:hint="eastAsia" w:ascii="宋体" w:hAnsi="宋体" w:eastAsia="宋体" w:cs="宋体"/>
                <w:b w:val="0"/>
                <w:sz w:val="18"/>
              </w:rPr>
              <w:t>156</w:t>
            </w:r>
          </w:p>
        </w:tc>
        <w:tc>
          <w:tcPr>
            <w:tcW w:w="1234" w:type="dxa"/>
          </w:tcPr>
          <w:p w14:paraId="51E8B848">
            <w:pPr>
              <w:spacing w:after="0" w:line="240" w:lineRule="auto"/>
              <w:rPr>
                <w:rFonts w:hint="eastAsia" w:ascii="宋体" w:hAnsi="宋体" w:eastAsia="宋体" w:cs="宋体"/>
              </w:rPr>
            </w:pPr>
            <w:r>
              <w:rPr>
                <w:rFonts w:hint="eastAsia" w:ascii="宋体" w:hAnsi="宋体" w:eastAsia="宋体" w:cs="宋体"/>
                <w:b w:val="0"/>
                <w:sz w:val="18"/>
              </w:rPr>
              <w:t>28.2%</w:t>
            </w:r>
          </w:p>
        </w:tc>
        <w:tc>
          <w:tcPr>
            <w:tcW w:w="1234" w:type="dxa"/>
          </w:tcPr>
          <w:p w14:paraId="3FE6BA50">
            <w:pPr>
              <w:spacing w:after="0" w:line="240" w:lineRule="auto"/>
              <w:rPr>
                <w:rFonts w:hint="eastAsia" w:ascii="宋体" w:hAnsi="宋体" w:eastAsia="宋体" w:cs="宋体"/>
              </w:rPr>
            </w:pPr>
            <w:r>
              <w:rPr>
                <w:rFonts w:hint="eastAsia" w:ascii="宋体" w:hAnsi="宋体" w:eastAsia="宋体" w:cs="宋体"/>
                <w:b w:val="0"/>
                <w:sz w:val="18"/>
              </w:rPr>
              <w:t>0.945（0.899–0.981）</w:t>
            </w:r>
          </w:p>
        </w:tc>
        <w:tc>
          <w:tcPr>
            <w:tcW w:w="1234" w:type="dxa"/>
          </w:tcPr>
          <w:p w14:paraId="48630E26">
            <w:pPr>
              <w:spacing w:after="0" w:line="240" w:lineRule="auto"/>
              <w:rPr>
                <w:rFonts w:hint="eastAsia" w:ascii="宋体" w:hAnsi="宋体" w:eastAsia="宋体" w:cs="宋体"/>
              </w:rPr>
            </w:pPr>
            <w:r>
              <w:rPr>
                <w:rFonts w:hint="eastAsia" w:ascii="宋体" w:hAnsi="宋体" w:eastAsia="宋体" w:cs="宋体"/>
                <w:b w:val="0"/>
                <w:sz w:val="18"/>
              </w:rPr>
              <w:t>0.814（0.723–0.893）</w:t>
            </w:r>
          </w:p>
        </w:tc>
        <w:tc>
          <w:tcPr>
            <w:tcW w:w="1234" w:type="dxa"/>
          </w:tcPr>
          <w:p w14:paraId="790F1A50">
            <w:pPr>
              <w:spacing w:after="0" w:line="240" w:lineRule="auto"/>
              <w:rPr>
                <w:rFonts w:hint="eastAsia" w:ascii="宋体" w:hAnsi="宋体" w:eastAsia="宋体" w:cs="宋体"/>
              </w:rPr>
            </w:pPr>
            <w:r>
              <w:rPr>
                <w:rFonts w:hint="eastAsia" w:ascii="宋体" w:hAnsi="宋体" w:eastAsia="宋体" w:cs="宋体"/>
                <w:b w:val="0"/>
                <w:sz w:val="18"/>
              </w:rPr>
              <w:t>0.952（0.901–0.986）</w:t>
            </w:r>
          </w:p>
        </w:tc>
        <w:tc>
          <w:tcPr>
            <w:tcW w:w="1234" w:type="dxa"/>
          </w:tcPr>
          <w:p w14:paraId="3DECC520">
            <w:pPr>
              <w:spacing w:after="0" w:line="240" w:lineRule="auto"/>
              <w:rPr>
                <w:rFonts w:hint="eastAsia" w:ascii="宋体" w:hAnsi="宋体" w:eastAsia="宋体" w:cs="宋体"/>
              </w:rPr>
            </w:pPr>
            <w:r>
              <w:rPr>
                <w:rFonts w:hint="eastAsia" w:ascii="宋体" w:hAnsi="宋体" w:eastAsia="宋体" w:cs="宋体"/>
                <w:b w:val="0"/>
                <w:sz w:val="18"/>
              </w:rPr>
              <w:t>+0.007</w:t>
            </w:r>
          </w:p>
        </w:tc>
      </w:tr>
      <w:tr w14:paraId="4E5C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0A1C6717">
            <w:pPr>
              <w:spacing w:after="0" w:line="240" w:lineRule="auto"/>
              <w:rPr>
                <w:rFonts w:hint="eastAsia" w:ascii="宋体" w:hAnsi="宋体" w:eastAsia="宋体" w:cs="宋体"/>
              </w:rPr>
            </w:pPr>
            <w:r>
              <w:rPr>
                <w:rFonts w:hint="eastAsia" w:ascii="宋体" w:hAnsi="宋体" w:eastAsia="宋体" w:cs="宋体"/>
                <w:b w:val="0"/>
                <w:sz w:val="18"/>
              </w:rPr>
              <w:t>性别：男</w:t>
            </w:r>
          </w:p>
        </w:tc>
        <w:tc>
          <w:tcPr>
            <w:tcW w:w="1234" w:type="dxa"/>
          </w:tcPr>
          <w:p w14:paraId="2B3390F4">
            <w:pPr>
              <w:spacing w:after="0" w:line="240" w:lineRule="auto"/>
              <w:rPr>
                <w:rFonts w:hint="eastAsia" w:ascii="宋体" w:hAnsi="宋体" w:eastAsia="宋体" w:cs="宋体"/>
              </w:rPr>
            </w:pPr>
            <w:r>
              <w:rPr>
                <w:rFonts w:hint="eastAsia" w:ascii="宋体" w:hAnsi="宋体" w:eastAsia="宋体" w:cs="宋体"/>
                <w:b w:val="0"/>
                <w:sz w:val="18"/>
              </w:rPr>
              <w:t>86</w:t>
            </w:r>
          </w:p>
        </w:tc>
        <w:tc>
          <w:tcPr>
            <w:tcW w:w="1234" w:type="dxa"/>
          </w:tcPr>
          <w:p w14:paraId="2F864441">
            <w:pPr>
              <w:spacing w:after="0" w:line="240" w:lineRule="auto"/>
              <w:rPr>
                <w:rFonts w:hint="eastAsia" w:ascii="宋体" w:hAnsi="宋体" w:eastAsia="宋体" w:cs="宋体"/>
              </w:rPr>
            </w:pPr>
            <w:r>
              <w:rPr>
                <w:rFonts w:hint="eastAsia" w:ascii="宋体" w:hAnsi="宋体" w:eastAsia="宋体" w:cs="宋体"/>
                <w:b w:val="0"/>
                <w:sz w:val="18"/>
              </w:rPr>
              <w:t>61.6%</w:t>
            </w:r>
          </w:p>
        </w:tc>
        <w:tc>
          <w:tcPr>
            <w:tcW w:w="1234" w:type="dxa"/>
          </w:tcPr>
          <w:p w14:paraId="38D400F3">
            <w:pPr>
              <w:spacing w:after="0" w:line="240" w:lineRule="auto"/>
              <w:rPr>
                <w:rFonts w:hint="eastAsia" w:ascii="宋体" w:hAnsi="宋体" w:eastAsia="宋体" w:cs="宋体"/>
              </w:rPr>
            </w:pPr>
            <w:r>
              <w:rPr>
                <w:rFonts w:hint="eastAsia" w:ascii="宋体" w:hAnsi="宋体" w:eastAsia="宋体" w:cs="宋体"/>
                <w:b w:val="0"/>
                <w:sz w:val="18"/>
              </w:rPr>
              <w:t>0.957（0.909–0.991）</w:t>
            </w:r>
          </w:p>
        </w:tc>
        <w:tc>
          <w:tcPr>
            <w:tcW w:w="1234" w:type="dxa"/>
          </w:tcPr>
          <w:p w14:paraId="57982E9B">
            <w:pPr>
              <w:spacing w:after="0" w:line="240" w:lineRule="auto"/>
              <w:rPr>
                <w:rFonts w:hint="eastAsia" w:ascii="宋体" w:hAnsi="宋体" w:eastAsia="宋体" w:cs="宋体"/>
              </w:rPr>
            </w:pPr>
            <w:r>
              <w:rPr>
                <w:rFonts w:hint="eastAsia" w:ascii="宋体" w:hAnsi="宋体" w:eastAsia="宋体" w:cs="宋体"/>
                <w:b w:val="0"/>
                <w:sz w:val="18"/>
              </w:rPr>
              <w:t>0.816（0.707–0.918）</w:t>
            </w:r>
          </w:p>
        </w:tc>
        <w:tc>
          <w:tcPr>
            <w:tcW w:w="1234" w:type="dxa"/>
          </w:tcPr>
          <w:p w14:paraId="1CDDF859">
            <w:pPr>
              <w:spacing w:after="0" w:line="240" w:lineRule="auto"/>
              <w:rPr>
                <w:rFonts w:hint="eastAsia" w:ascii="宋体" w:hAnsi="宋体" w:eastAsia="宋体" w:cs="宋体"/>
              </w:rPr>
            </w:pPr>
            <w:r>
              <w:rPr>
                <w:rFonts w:hint="eastAsia" w:ascii="宋体" w:hAnsi="宋体" w:eastAsia="宋体" w:cs="宋体"/>
                <w:b w:val="0"/>
                <w:sz w:val="18"/>
              </w:rPr>
              <w:t>0.955（0.900–0.991）</w:t>
            </w:r>
          </w:p>
        </w:tc>
        <w:tc>
          <w:tcPr>
            <w:tcW w:w="1234" w:type="dxa"/>
          </w:tcPr>
          <w:p w14:paraId="3C1B2DB2">
            <w:pPr>
              <w:spacing w:after="0" w:line="240" w:lineRule="auto"/>
              <w:rPr>
                <w:rFonts w:hint="eastAsia" w:ascii="宋体" w:hAnsi="宋体" w:eastAsia="宋体" w:cs="宋体"/>
              </w:rPr>
            </w:pPr>
            <w:r>
              <w:rPr>
                <w:rFonts w:hint="eastAsia" w:ascii="宋体" w:hAnsi="宋体" w:eastAsia="宋体" w:cs="宋体"/>
                <w:b w:val="0"/>
                <w:sz w:val="18"/>
              </w:rPr>
              <w:t>−0.002</w:t>
            </w:r>
          </w:p>
        </w:tc>
      </w:tr>
      <w:tr w14:paraId="067B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Pr>
          <w:p w14:paraId="1AD283DD">
            <w:pPr>
              <w:spacing w:after="0" w:line="240" w:lineRule="auto"/>
              <w:rPr>
                <w:rFonts w:hint="eastAsia" w:ascii="宋体" w:hAnsi="宋体" w:eastAsia="宋体" w:cs="宋体"/>
              </w:rPr>
            </w:pPr>
            <w:r>
              <w:rPr>
                <w:rFonts w:hint="eastAsia" w:ascii="宋体" w:hAnsi="宋体" w:eastAsia="宋体" w:cs="宋体"/>
                <w:b w:val="0"/>
                <w:sz w:val="18"/>
              </w:rPr>
              <w:t>性别：女</w:t>
            </w:r>
          </w:p>
        </w:tc>
        <w:tc>
          <w:tcPr>
            <w:tcW w:w="1234" w:type="dxa"/>
          </w:tcPr>
          <w:p w14:paraId="574B650C">
            <w:pPr>
              <w:spacing w:after="0" w:line="240" w:lineRule="auto"/>
              <w:rPr>
                <w:rFonts w:hint="eastAsia" w:ascii="宋体" w:hAnsi="宋体" w:eastAsia="宋体" w:cs="宋体"/>
              </w:rPr>
            </w:pPr>
            <w:r>
              <w:rPr>
                <w:rFonts w:hint="eastAsia" w:ascii="宋体" w:hAnsi="宋体" w:eastAsia="宋体" w:cs="宋体"/>
                <w:b w:val="0"/>
                <w:sz w:val="18"/>
              </w:rPr>
              <w:t>653</w:t>
            </w:r>
          </w:p>
        </w:tc>
        <w:tc>
          <w:tcPr>
            <w:tcW w:w="1234" w:type="dxa"/>
          </w:tcPr>
          <w:p w14:paraId="1690EBFE">
            <w:pPr>
              <w:spacing w:after="0" w:line="240" w:lineRule="auto"/>
              <w:rPr>
                <w:rFonts w:hint="eastAsia" w:ascii="宋体" w:hAnsi="宋体" w:eastAsia="宋体" w:cs="宋体"/>
              </w:rPr>
            </w:pPr>
            <w:r>
              <w:rPr>
                <w:rFonts w:hint="eastAsia" w:ascii="宋体" w:hAnsi="宋体" w:eastAsia="宋体" w:cs="宋体"/>
                <w:b w:val="0"/>
                <w:sz w:val="18"/>
              </w:rPr>
              <w:t>45.9%</w:t>
            </w:r>
          </w:p>
        </w:tc>
        <w:tc>
          <w:tcPr>
            <w:tcW w:w="1234" w:type="dxa"/>
          </w:tcPr>
          <w:p w14:paraId="6F3DD389">
            <w:pPr>
              <w:spacing w:after="0" w:line="240" w:lineRule="auto"/>
              <w:rPr>
                <w:rFonts w:hint="eastAsia" w:ascii="宋体" w:hAnsi="宋体" w:eastAsia="宋体" w:cs="宋体"/>
              </w:rPr>
            </w:pPr>
            <w:r>
              <w:rPr>
                <w:rFonts w:hint="eastAsia" w:ascii="宋体" w:hAnsi="宋体" w:eastAsia="宋体" w:cs="宋体"/>
                <w:b w:val="0"/>
                <w:sz w:val="18"/>
              </w:rPr>
              <w:t>0.938（0.922–0.954）</w:t>
            </w:r>
          </w:p>
        </w:tc>
        <w:tc>
          <w:tcPr>
            <w:tcW w:w="1234" w:type="dxa"/>
          </w:tcPr>
          <w:p w14:paraId="5ACF7F90">
            <w:pPr>
              <w:spacing w:after="0" w:line="240" w:lineRule="auto"/>
              <w:rPr>
                <w:rFonts w:hint="eastAsia" w:ascii="宋体" w:hAnsi="宋体" w:eastAsia="宋体" w:cs="宋体"/>
              </w:rPr>
            </w:pPr>
            <w:r>
              <w:rPr>
                <w:rFonts w:hint="eastAsia" w:ascii="宋体" w:hAnsi="宋体" w:eastAsia="宋体" w:cs="宋体"/>
                <w:b w:val="0"/>
                <w:sz w:val="18"/>
              </w:rPr>
              <w:t>0.813（0.782–0.847）</w:t>
            </w:r>
          </w:p>
        </w:tc>
        <w:tc>
          <w:tcPr>
            <w:tcW w:w="1234" w:type="dxa"/>
          </w:tcPr>
          <w:p w14:paraId="246E36AA">
            <w:pPr>
              <w:spacing w:after="0" w:line="240" w:lineRule="auto"/>
              <w:rPr>
                <w:rFonts w:hint="eastAsia" w:ascii="宋体" w:hAnsi="宋体" w:eastAsia="宋体" w:cs="宋体"/>
              </w:rPr>
            </w:pPr>
            <w:r>
              <w:rPr>
                <w:rFonts w:hint="eastAsia" w:ascii="宋体" w:hAnsi="宋体" w:eastAsia="宋体" w:cs="宋体"/>
                <w:b w:val="0"/>
                <w:sz w:val="18"/>
              </w:rPr>
              <w:t>0.946（0.930–0.960）</w:t>
            </w:r>
          </w:p>
        </w:tc>
        <w:tc>
          <w:tcPr>
            <w:tcW w:w="1234" w:type="dxa"/>
          </w:tcPr>
          <w:p w14:paraId="761A4A60">
            <w:pPr>
              <w:spacing w:after="0" w:line="240" w:lineRule="auto"/>
              <w:rPr>
                <w:rFonts w:hint="eastAsia" w:ascii="宋体" w:hAnsi="宋体" w:eastAsia="宋体" w:cs="宋体"/>
              </w:rPr>
            </w:pPr>
            <w:r>
              <w:rPr>
                <w:rFonts w:hint="eastAsia" w:ascii="宋体" w:hAnsi="宋体" w:eastAsia="宋体" w:cs="宋体"/>
                <w:b w:val="0"/>
                <w:sz w:val="18"/>
              </w:rPr>
              <w:t>+0.008</w:t>
            </w:r>
          </w:p>
        </w:tc>
      </w:tr>
    </w:tbl>
    <w:p w14:paraId="6F990139">
      <w:pPr>
        <w:rPr>
          <w:rFonts w:hint="eastAsia" w:ascii="宋体" w:hAnsi="宋体" w:eastAsia="宋体" w:cs="宋体"/>
        </w:rPr>
      </w:pPr>
    </w:p>
    <w:p w14:paraId="57347EB0">
      <w:pPr>
        <w:pStyle w:val="3"/>
        <w:rPr>
          <w:rFonts w:hint="eastAsia" w:ascii="宋体" w:hAnsi="宋体" w:eastAsia="宋体" w:cs="宋体"/>
        </w:rPr>
      </w:pPr>
      <w:r>
        <w:rPr>
          <w:rFonts w:hint="eastAsia" w:ascii="宋体" w:hAnsi="宋体" w:eastAsia="宋体" w:cs="宋体"/>
        </w:rPr>
        <w:t>4. 讨论</w:t>
      </w:r>
    </w:p>
    <w:p w14:paraId="7B6828AA">
      <w:pPr>
        <w:spacing w:after="120"/>
        <w:rPr>
          <w:rFonts w:hint="eastAsia" w:ascii="宋体" w:hAnsi="宋体" w:eastAsia="宋体" w:cs="宋体"/>
        </w:rPr>
      </w:pPr>
      <w:r>
        <w:rPr>
          <w:rFonts w:hint="eastAsia" w:ascii="宋体" w:hAnsi="宋体" w:eastAsia="宋体" w:cs="宋体"/>
        </w:rPr>
        <w:t>我们系统评估了一个将超声图像特征与结构化临床特征相结合、用于甲状腺结节恶性分类的多模态框架，并量化了其在四个公共数据集上的泛化能力。得出了三项主要发现。其一，在单一大数据集上训练的纯图像模型内部判别力高（测试 AUC 0.920），但在独立外部数据集上性能显著下降（AUC 0.713），量化了单队列评估中不可见的 0.21 跨数据集域漂移差距。其二，在两个数据集的合并训练图像上联合训练（7,129 张：6,379 张训练加 750 张验证）在 TN3K 上恢复了约一半差距（外部 AUC 0.814 对匹配官方测试的 0.729，Δ = +0.085），内部变化适中（AUC 0.931，+0.01）。其三，在第二个完全独立的病理确诊队列（Thy-Wise；3,954 个结节）上，联合训练提供了相当的增益（结节级 AUC 0.608 → 0.710，Δ = +0.102），表明外部性能高度依赖队列，且联合训练的好处可转移到训练中新增队列之外的未见分布。在整个分析中，我们在判别力之外还报告校准和决策曲线指标，并在 ThyroidXL 队列上报告纯图像、纯临床和融合模型的三臂消融（见 3.5 节），弥补了该领域常见的报告空白。</w:t>
      </w:r>
    </w:p>
    <w:p w14:paraId="703C04F0">
      <w:pPr>
        <w:spacing w:after="120"/>
        <w:rPr>
          <w:rFonts w:hint="eastAsia" w:ascii="宋体" w:hAnsi="宋体" w:eastAsia="宋体" w:cs="宋体"/>
        </w:rPr>
      </w:pPr>
      <w:r>
        <w:rPr>
          <w:rFonts w:hint="eastAsia" w:ascii="宋体" w:hAnsi="宋体" w:eastAsia="宋体" w:cs="宋体"/>
          <w:b/>
        </w:rPr>
        <w:t>域漂移是转化的核心障碍。</w:t>
      </w:r>
      <w:r>
        <w:rPr>
          <w:rFonts w:hint="eastAsia" w:ascii="宋体" w:hAnsi="宋体" w:eastAsia="宋体" w:cs="宋体"/>
        </w:rPr>
        <w:t xml:space="preserve"> 从 0.920 到 0.713 的外部下降值得强调。TN5000 和 TN3K 由不同机构的不同设备采集，标签患病率也显著不同（恶性 71.5% 对 34.6%），这在一定程度上解释了固定工作阈值下灵敏度的相应下降（内部 91.1% 降至官方 TN3K 测试的 51.3%）。第二个外部队列证实了这种漂移的幅度具有队列特异性：应用于 Thy-Wise 时，单数据集模型的结节级 AUC 进一步降至 0.608（见 3.4 节）。域适应文献中已报道过超声模型跨设备迁移时的类似性能退化 </w:t>
      </w:r>
      <w:r>
        <w:rPr>
          <w:rFonts w:hint="eastAsia" w:ascii="宋体" w:hAnsi="宋体" w:eastAsia="宋体" w:cs="宋体"/>
        </w:rPr>
        <w:fldChar w:fldCharType="begin"/>
      </w:r>
      <w:r>
        <w:rPr>
          <w:rFonts w:hint="eastAsia" w:ascii="宋体" w:hAnsi="宋体" w:eastAsia="宋体" w:cs="宋体"/>
        </w:rPr>
        <w:instrText xml:space="preserve"> HYPERLINK \l "Ref17" \h </w:instrText>
      </w:r>
      <w:r>
        <w:rPr>
          <w:rFonts w:hint="eastAsia" w:ascii="宋体" w:hAnsi="宋体" w:eastAsia="宋体" w:cs="宋体"/>
        </w:rPr>
        <w:fldChar w:fldCharType="separate"/>
      </w:r>
      <w:r>
        <w:rPr>
          <w:rFonts w:hint="eastAsia" w:ascii="宋体" w:hAnsi="宋体" w:eastAsia="宋体" w:cs="宋体"/>
          <w:color w:val="0563C1"/>
          <w:u w:val="single"/>
        </w:rPr>
        <w:t>17</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"Ref18" \h </w:instrText>
      </w:r>
      <w:r>
        <w:rPr>
          <w:rFonts w:hint="eastAsia" w:ascii="宋体" w:hAnsi="宋体" w:eastAsia="宋体" w:cs="宋体"/>
        </w:rPr>
        <w:fldChar w:fldCharType="separate"/>
      </w:r>
      <w:r>
        <w:rPr>
          <w:rFonts w:hint="eastAsia" w:ascii="宋体" w:hAnsi="宋体" w:eastAsia="宋体" w:cs="宋体"/>
          <w:color w:val="0563C1"/>
          <w:u w:val="single"/>
        </w:rPr>
        <w:t>18</w:t>
      </w:r>
      <w:r>
        <w:rPr>
          <w:rFonts w:hint="eastAsia" w:ascii="宋体" w:hAnsi="宋体" w:eastAsia="宋体" w:cs="宋体"/>
          <w:color w:val="0563C1"/>
          <w:u w:val="single"/>
        </w:rPr>
        <w:fldChar w:fldCharType="end"/>
      </w:r>
      <w:r>
        <w:rPr>
          <w:rFonts w:hint="eastAsia" w:ascii="宋体" w:hAnsi="宋体" w:eastAsia="宋体" w:cs="宋体"/>
        </w:rPr>
        <w:t xml:space="preserve">。我们的结果支持了"单数据集 AUC 显著高估真实世界性能"这一日益形成的共识，并强化了 TRIPOD+AI 关于外部验证是部署前提的建议 </w:t>
      </w:r>
      <w:r>
        <w:rPr>
          <w:rFonts w:hint="eastAsia" w:ascii="宋体" w:hAnsi="宋体" w:eastAsia="宋体" w:cs="宋体"/>
        </w:rPr>
        <w:fldChar w:fldCharType="begin"/>
      </w:r>
      <w:r>
        <w:rPr>
          <w:rFonts w:hint="eastAsia" w:ascii="宋体" w:hAnsi="宋体" w:eastAsia="宋体" w:cs="宋体"/>
        </w:rPr>
        <w:instrText xml:space="preserve"> HYPERLINK \l "Ref16" \h </w:instrText>
      </w:r>
      <w:r>
        <w:rPr>
          <w:rFonts w:hint="eastAsia" w:ascii="宋体" w:hAnsi="宋体" w:eastAsia="宋体" w:cs="宋体"/>
        </w:rPr>
        <w:fldChar w:fldCharType="separate"/>
      </w:r>
      <w:r>
        <w:rPr>
          <w:rFonts w:hint="eastAsia" w:ascii="宋体" w:hAnsi="宋体" w:eastAsia="宋体" w:cs="宋体"/>
          <w:color w:val="0563C1"/>
          <w:u w:val="single"/>
        </w:rPr>
        <w:t>16</w:t>
      </w:r>
      <w:r>
        <w:rPr>
          <w:rFonts w:hint="eastAsia" w:ascii="宋体" w:hAnsi="宋体" w:eastAsia="宋体" w:cs="宋体"/>
          <w:color w:val="0563C1"/>
          <w:u w:val="single"/>
        </w:rPr>
        <w:fldChar w:fldCharType="end"/>
      </w:r>
      <w:r>
        <w:rPr>
          <w:rFonts w:hint="eastAsia" w:ascii="宋体" w:hAnsi="宋体" w:eastAsia="宋体" w:cs="宋体"/>
        </w:rPr>
        <w:t>。</w:t>
      </w:r>
    </w:p>
    <w:p w14:paraId="68E02410">
      <w:pPr>
        <w:spacing w:after="120"/>
        <w:rPr>
          <w:rFonts w:hint="eastAsia" w:ascii="宋体" w:hAnsi="宋体" w:eastAsia="宋体" w:cs="宋体"/>
        </w:rPr>
      </w:pPr>
      <w:r>
        <w:rPr>
          <w:rFonts w:hint="eastAsia" w:ascii="宋体" w:hAnsi="宋体" w:eastAsia="宋体" w:cs="宋体"/>
          <w:b/>
        </w:rPr>
        <w:t>联合多数据集训练有助于加入训练中的队列，且增益可转移到未见队列。</w:t>
      </w:r>
      <w:r>
        <w:rPr>
          <w:rFonts w:hint="eastAsia" w:ascii="宋体" w:hAnsi="宋体" w:eastAsia="宋体" w:cs="宋体"/>
        </w:rPr>
        <w:t xml:space="preserve"> 将 TN3K 训练图像加入 TN5000 训练池，使官方 TN3K 测试集的外部 AUC 从 0.729 提升至 0.814（匹配 +0.085），恢复了约一半的域漂移赤字，并将外部特异度从 78.0% 提升至 78.8%。因此，当目标队列数据可纳入训练时，多数据集合并是一种务实的稳健性策略。在完全独立的 Thy-Wise 队列上，联合训练也将结节级 AUC 从 0.608 提升至 0.710（+0.102），增益与 TN3K 相当。因此增益转移到了新增分布之外。TN3K 和 Thy-Wise 上残留的差距（绝对 AUC 分别为 0.814 和 0.710，远低于内部 0.931）表明，可能还需要结构化临床特征等与设备无关的先验。</w:t>
      </w:r>
    </w:p>
    <w:p w14:paraId="01BE2DD1">
      <w:pPr>
        <w:spacing w:after="120"/>
        <w:rPr>
          <w:rFonts w:hint="eastAsia" w:ascii="宋体" w:hAnsi="宋体" w:eastAsia="宋体" w:cs="宋体"/>
        </w:rPr>
      </w:pPr>
      <w:r>
        <w:rPr>
          <w:rFonts w:hint="eastAsia" w:ascii="宋体" w:hAnsi="宋体" w:eastAsia="宋体" w:cs="宋体"/>
          <w:b/>
        </w:rPr>
        <w:t>结构化临床特征补充但不主导图像特征。</w:t>
      </w:r>
      <w:r>
        <w:rPr>
          <w:rFonts w:hint="eastAsia" w:ascii="宋体" w:hAnsi="宋体" w:eastAsia="宋体" w:cs="宋体"/>
        </w:rPr>
        <w:t xml:space="preserve"> "结构化临床先验（专家 ACR TI-RADS 评分、结节宽和高、年龄和性别）在很大程度上独立于采集硬件并能稳定预测"这一假设在 ThyroidXL 消融中直接检验。融合模型相对纯图像取得了适度但一致的改善（结节级 AUC 0.947 对 0.939；AUPRC 0.939 对 0.930；特异度 0.940 对 0.909），而纯临床模型明显逊色（AUC 0.814）且校准差（ECE 0.248）。由此得出两点启示。其一，在这一单设备队列中图像特征主导分类任务，五项结构化特征的增量价值虽方向为正但很小。其二，仅靠临床特征不足以进行可靠的判别。这调和了"设备无关先验"的框架：结构化特征似乎是有用的补充信号，而非图像分析的替代品。融合增益在真正的跨设备域漂移下（图像统计退化而语义特征不应退化）是否会更大，仍是当前单设备 ThyroidXL 队列无法回答的开放问题，也是未来用多设备 TI-RADS 标注数据研究的方向。我们的框架还不同于依赖自由文本放射学报告 </w:t>
      </w:r>
      <w:r>
        <w:rPr>
          <w:rFonts w:hint="eastAsia" w:ascii="宋体" w:hAnsi="宋体" w:eastAsia="宋体" w:cs="宋体"/>
        </w:rPr>
        <w:fldChar w:fldCharType="begin"/>
      </w:r>
      <w:r>
        <w:rPr>
          <w:rFonts w:hint="eastAsia" w:ascii="宋体" w:hAnsi="宋体" w:eastAsia="宋体" w:cs="宋体"/>
        </w:rPr>
        <w:instrText xml:space="preserve"> HYPERLINK \l "Ref19" \h </w:instrText>
      </w:r>
      <w:r>
        <w:rPr>
          <w:rFonts w:hint="eastAsia" w:ascii="宋体" w:hAnsi="宋体" w:eastAsia="宋体" w:cs="宋体"/>
        </w:rPr>
        <w:fldChar w:fldCharType="separate"/>
      </w:r>
      <w:r>
        <w:rPr>
          <w:rFonts w:hint="eastAsia" w:ascii="宋体" w:hAnsi="宋体" w:eastAsia="宋体" w:cs="宋体"/>
          <w:color w:val="0563C1"/>
          <w:u w:val="single"/>
        </w:rPr>
        <w:t>19</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"Ref20" \h </w:instrText>
      </w:r>
      <w:r>
        <w:rPr>
          <w:rFonts w:hint="eastAsia" w:ascii="宋体" w:hAnsi="宋体" w:eastAsia="宋体" w:cs="宋体"/>
        </w:rPr>
        <w:fldChar w:fldCharType="separate"/>
      </w:r>
      <w:r>
        <w:rPr>
          <w:rFonts w:hint="eastAsia" w:ascii="宋体" w:hAnsi="宋体" w:eastAsia="宋体" w:cs="宋体"/>
          <w:color w:val="0563C1"/>
          <w:u w:val="single"/>
        </w:rPr>
        <w:t>20</w:t>
      </w:r>
      <w:r>
        <w:rPr>
          <w:rFonts w:hint="eastAsia" w:ascii="宋体" w:hAnsi="宋体" w:eastAsia="宋体" w:cs="宋体"/>
          <w:color w:val="0563C1"/>
          <w:u w:val="single"/>
        </w:rPr>
        <w:fldChar w:fldCharType="end"/>
      </w:r>
      <w:r>
        <w:rPr>
          <w:rFonts w:hint="eastAsia" w:ascii="宋体" w:hAnsi="宋体" w:eastAsia="宋体" w:cs="宋体"/>
        </w:rPr>
        <w:t xml:space="preserve"> 或对比增强序列 </w:t>
      </w:r>
      <w:r>
        <w:rPr>
          <w:rFonts w:hint="eastAsia" w:ascii="宋体" w:hAnsi="宋体" w:eastAsia="宋体" w:cs="宋体"/>
        </w:rPr>
        <w:fldChar w:fldCharType="begin"/>
      </w:r>
      <w:r>
        <w:rPr>
          <w:rFonts w:hint="eastAsia" w:ascii="宋体" w:hAnsi="宋体" w:eastAsia="宋体" w:cs="宋体"/>
        </w:rPr>
        <w:instrText xml:space="preserve"> HYPERLINK \l "Ref21" \h </w:instrText>
      </w:r>
      <w:r>
        <w:rPr>
          <w:rFonts w:hint="eastAsia" w:ascii="宋体" w:hAnsi="宋体" w:eastAsia="宋体" w:cs="宋体"/>
        </w:rPr>
        <w:fldChar w:fldCharType="separate"/>
      </w:r>
      <w:r>
        <w:rPr>
          <w:rFonts w:hint="eastAsia" w:ascii="宋体" w:hAnsi="宋体" w:eastAsia="宋体" w:cs="宋体"/>
          <w:color w:val="0563C1"/>
          <w:u w:val="single"/>
        </w:rPr>
        <w:t>21</w:t>
      </w:r>
      <w:r>
        <w:rPr>
          <w:rFonts w:hint="eastAsia" w:ascii="宋体" w:hAnsi="宋体" w:eastAsia="宋体" w:cs="宋体"/>
          <w:color w:val="0563C1"/>
          <w:u w:val="single"/>
        </w:rPr>
        <w:fldChar w:fldCharType="end"/>
      </w:r>
      <w:r>
        <w:rPr>
          <w:rFonts w:hint="eastAsia" w:ascii="宋体" w:hAnsi="宋体" w:eastAsia="宋体" w:cs="宋体"/>
        </w:rPr>
        <w:t xml:space="preserve"> 的多模态方法：它仅使用常规 B 型超声加结构化临床值，无需额外采集或报告转录，这有利于广泛临床部署。</w:t>
      </w:r>
    </w:p>
    <w:p w14:paraId="4A4614E2">
      <w:pPr>
        <w:spacing w:after="120"/>
        <w:rPr>
          <w:rFonts w:hint="eastAsia" w:ascii="宋体" w:hAnsi="宋体" w:eastAsia="宋体" w:cs="宋体"/>
        </w:rPr>
      </w:pPr>
      <w:r>
        <w:rPr>
          <w:rFonts w:hint="eastAsia" w:ascii="宋体" w:hAnsi="宋体" w:eastAsia="宋体" w:cs="宋体"/>
        </w:rPr>
        <w:t>亚组分析（见 3.6 节）为这一发现增添了两点临床相关的细微之处。其一，融合增益集中在图像判别最不确定的亚组：低中危 TI-RADS 组（TR2-3，Δ AUC +0.066）和小结节（≤20 mm），而在高度恶性的 TR5 组和 &gt;20 mm 结节中不存在。这一模式与"结构化风险先验在图像特征模糊处贡献最大"的临床直觉一致，提示临床分支在不确定结节分诊中最有价值。其二，未观察到融合获益存在有意义的性别或年龄相关不对称。TR2-3 亚组（仅含四个恶性结节）的宽置信区间提示不应过度解读最大点估计，亚组结果应在更大、多设备的队列中确认。</w:t>
      </w:r>
    </w:p>
    <w:p w14:paraId="39F42330">
      <w:pPr>
        <w:spacing w:after="120"/>
        <w:rPr>
          <w:rFonts w:hint="eastAsia" w:ascii="宋体" w:hAnsi="宋体" w:eastAsia="宋体" w:cs="宋体"/>
        </w:rPr>
      </w:pPr>
      <w:r>
        <w:rPr>
          <w:rFonts w:hint="eastAsia" w:ascii="宋体" w:hAnsi="宋体" w:eastAsia="宋体" w:cs="宋体"/>
          <w:b/>
        </w:rPr>
        <w:t>与近期 ThyroidXL 研究比较。</w:t>
      </w:r>
      <w:r>
        <w:rPr>
          <w:rFonts w:hint="eastAsia" w:ascii="宋体" w:hAnsi="宋体" w:eastAsia="宋体" w:cs="宋体"/>
        </w:rPr>
        <w:t xml:space="preserve"> 自 ThyroidXL 可用以来，至少一个框架在该基准上使用纯图像输入报告了极高的患者级性能：一种带注意力多实例学习的区域与上下文感知融合报告了 ThyroidXL 上患者级测试 AUC 0.993 </w:t>
      </w:r>
      <w:r>
        <w:rPr>
          <w:rFonts w:hint="eastAsia" w:ascii="宋体" w:hAnsi="宋体" w:eastAsia="宋体" w:cs="宋体"/>
        </w:rPr>
        <w:fldChar w:fldCharType="begin"/>
      </w:r>
      <w:r>
        <w:rPr>
          <w:rFonts w:hint="eastAsia" w:ascii="宋体" w:hAnsi="宋体" w:eastAsia="宋体" w:cs="宋体"/>
        </w:rPr>
        <w:instrText xml:space="preserve"> HYPERLINK \l "Ref22" \h </w:instrText>
      </w:r>
      <w:r>
        <w:rPr>
          <w:rFonts w:hint="eastAsia" w:ascii="宋体" w:hAnsi="宋体" w:eastAsia="宋体" w:cs="宋体"/>
        </w:rPr>
        <w:fldChar w:fldCharType="separate"/>
      </w:r>
      <w:r>
        <w:rPr>
          <w:rFonts w:hint="eastAsia" w:ascii="宋体" w:hAnsi="宋体" w:eastAsia="宋体" w:cs="宋体"/>
          <w:color w:val="0563C1"/>
          <w:u w:val="single"/>
        </w:rPr>
        <w:t>22</w:t>
      </w:r>
      <w:r>
        <w:rPr>
          <w:rFonts w:hint="eastAsia" w:ascii="宋体" w:hAnsi="宋体" w:eastAsia="宋体" w:cs="宋体"/>
          <w:color w:val="0563C1"/>
          <w:u w:val="single"/>
        </w:rPr>
        <w:fldChar w:fldCharType="end"/>
      </w:r>
      <w:r>
        <w:rPr>
          <w:rFonts w:hint="eastAsia" w:ascii="宋体" w:hAnsi="宋体" w:eastAsia="宋体" w:cs="宋体"/>
        </w:rPr>
        <w:t>。该方法与我们的方法在三个与临床转化相关的方面不同。其一，它在推理时需要结节分割掩膜（病灶聚焦分支与掩膜相乘），而我们的框架仅使用 B 型图像，因此在无自动或手动掩膜的情况下也可用。其二，它在每个患者内用学习到的注意力聚合帧，而我们使用固定平均聚合，更简单且避免额外的学习参数。</w:t>
      </w:r>
    </w:p>
    <w:p w14:paraId="45036FB5">
      <w:pPr>
        <w:spacing w:after="120"/>
        <w:rPr>
          <w:rFonts w:hint="eastAsia" w:ascii="宋体" w:hAnsi="宋体" w:eastAsia="宋体" w:cs="宋体"/>
        </w:rPr>
      </w:pPr>
      <w:r>
        <w:rPr>
          <w:rFonts w:hint="eastAsia" w:ascii="宋体" w:hAnsi="宋体" w:eastAsia="宋体" w:cs="宋体"/>
        </w:rPr>
        <w:t>其三，它不使用结构化临床特征。由于这些方法学差异，我们的结果在绝对值上不可直接比较，特别是我们纯图像模型在 ThyroidXL 上较低 AUC 反映了缺乏掩膜引导。为分离聚合策略的贡献，我们评估了同一帧预测的替代结节级聚合：最大池化和注意力加权池化（帧概率的指数 softmax）产生的 AUC 均低于本研究全程使用的平均池化（融合：平均 0.947、最大 0.934、注意力 0.935；纯图像：平均 0.939、最大 0.927、注意力 0.928）。此处注意力加权的可忽略增益表明，掩膜方法报告的高患者级 AUC 并非由其注意力池化解释，而是由掩膜引导本身解释——我们的框架出于临床适用性而刻意回避掩膜。本研究反而聚焦于掩膜方法未处理的问题，即跨数据集域漂移量化和结构化临床特征的增量价值。</w:t>
      </w:r>
    </w:p>
    <w:p w14:paraId="2846CA93">
      <w:pPr>
        <w:spacing w:after="120"/>
        <w:rPr>
          <w:rFonts w:hint="eastAsia" w:ascii="宋体" w:hAnsi="宋体" w:eastAsia="宋体" w:cs="宋体"/>
        </w:rPr>
      </w:pPr>
      <w:r>
        <w:rPr>
          <w:rFonts w:hint="eastAsia" w:ascii="宋体" w:hAnsi="宋体" w:eastAsia="宋体" w:cs="宋体"/>
          <w:b/>
        </w:rPr>
        <w:t>校准与决策曲线报告。</w:t>
      </w:r>
      <w:r>
        <w:rPr>
          <w:rFonts w:hint="eastAsia" w:ascii="宋体" w:hAnsi="宋体" w:eastAsia="宋体" w:cs="宋体"/>
        </w:rPr>
        <w:t xml:space="preserve"> 仅凭判别力不足以支持临床使用。单数据集模型内部校准良好（ECE 0.035）但外部校准明显欠佳（ECE 0.136），联合训练改善了外部校准（ECE 0.072）；因此校准在域漂移下与判别力同步退化。决策曲线（图 5–7）进一步表明模型在一系列阈值概率下提供净收益。在固定 0.5 决策阈值下，灵敏度（内部 91.1%）超过特异度（72.4%），既反映了训练数据的类别不平衡（71.5% 恶性），也反映了结节分诊中的临床权衡——过度转诊优于漏诊恶性；工作点应匹配临床场景选择，决策曲线为此提供了明确信息。</w:t>
      </w:r>
    </w:p>
    <w:p w14:paraId="00F9380B">
      <w:pPr>
        <w:spacing w:after="120"/>
        <w:rPr>
          <w:rFonts w:hint="eastAsia" w:ascii="宋体" w:hAnsi="宋体" w:eastAsia="宋体" w:cs="宋体"/>
        </w:rPr>
      </w:pPr>
      <w:r>
        <w:rPr>
          <w:rFonts w:hint="eastAsia" w:ascii="宋体" w:hAnsi="宋体" w:eastAsia="宋体" w:cs="宋体"/>
          <w:b/>
        </w:rPr>
        <w:t>错误模式。</w:t>
      </w:r>
      <w:r>
        <w:rPr>
          <w:rFonts w:hint="eastAsia" w:ascii="宋体" w:hAnsi="宋体" w:eastAsia="宋体" w:cs="宋体"/>
        </w:rPr>
        <w:t xml:space="preserve"> 在固定 0.5 阈值下，ThyroidXL 测试队列上的融合模型假阴性多于假阳性（739 个结节中 97 对 23），即倾向于少报恶性（图 10）。这种不对称与 ThyroidXL 开发集恶性患病率低（26.1%）以及模型达到的高特异度一致；在漏诊恶性更严重的临床分诊中，宜采用更低决策阈值或灵敏度约束的工作点。这说明了明确阈值选择而非固定默认值的重要性。</w:t>
      </w:r>
    </w:p>
    <w:p w14:paraId="70FB0C6E">
      <w:pPr>
        <w:spacing w:after="120"/>
        <w:rPr>
          <w:rFonts w:hint="eastAsia" w:ascii="宋体" w:hAnsi="宋体" w:eastAsia="宋体" w:cs="宋体"/>
        </w:rPr>
      </w:pPr>
      <w:r>
        <w:rPr>
          <w:rFonts w:hint="eastAsia" w:ascii="宋体" w:hAnsi="宋体" w:eastAsia="宋体" w:cs="宋体"/>
          <w:b/>
        </w:rPr>
        <w:t>局限性。</w:t>
      </w:r>
      <w:r>
        <w:rPr>
          <w:rFonts w:hint="eastAsia" w:ascii="宋体" w:hAnsi="宋体" w:eastAsia="宋体" w:cs="宋体"/>
        </w:rPr>
        <w:t xml:space="preserve"> 需承认几点局限。其一，数据集标签源自异构参考标准（TN5000 和 Thy-Wise 为活检确认的病理标签，TN3K 为已发表标签 </w:t>
      </w:r>
      <w:r>
        <w:rPr>
          <w:rFonts w:hint="eastAsia" w:ascii="宋体" w:hAnsi="宋体" w:eastAsia="宋体" w:cs="宋体"/>
        </w:rPr>
        <w:fldChar w:fldCharType="begin"/>
      </w:r>
      <w:r>
        <w:rPr>
          <w:rFonts w:hint="eastAsia" w:ascii="宋体" w:hAnsi="宋体" w:eastAsia="宋体" w:cs="宋体"/>
        </w:rPr>
        <w:instrText xml:space="preserve"> HYPERLINK \l "Ref11" \h </w:instrText>
      </w:r>
      <w:r>
        <w:rPr>
          <w:rFonts w:hint="eastAsia" w:ascii="宋体" w:hAnsi="宋体" w:eastAsia="宋体" w:cs="宋体"/>
        </w:rPr>
        <w:fldChar w:fldCharType="separate"/>
      </w:r>
      <w:r>
        <w:rPr>
          <w:rFonts w:hint="eastAsia" w:ascii="宋体" w:hAnsi="宋体" w:eastAsia="宋体" w:cs="宋体"/>
          <w:color w:val="0563C1"/>
          <w:u w:val="single"/>
        </w:rPr>
        <w:t>11</w:t>
      </w:r>
      <w:r>
        <w:rPr>
          <w:rFonts w:hint="eastAsia" w:ascii="宋体" w:hAnsi="宋体" w:eastAsia="宋体" w:cs="宋体"/>
          <w:color w:val="0563C1"/>
          <w:u w:val="single"/>
        </w:rPr>
        <w:fldChar w:fldCharType="end"/>
      </w:r>
      <w:r>
        <w:rPr>
          <w:rFonts w:hint="eastAsia" w:ascii="宋体" w:hAnsi="宋体" w:eastAsia="宋体" w:cs="宋体"/>
        </w:rPr>
        <w:t xml:space="preserve">，ThyroidXL 为细胞学/病理标签 </w:t>
      </w:r>
      <w:r>
        <w:rPr>
          <w:rFonts w:hint="eastAsia" w:ascii="宋体" w:hAnsi="宋体" w:eastAsia="宋体" w:cs="宋体"/>
        </w:rPr>
        <w:fldChar w:fldCharType="begin"/>
      </w:r>
      <w:r>
        <w:rPr>
          <w:rFonts w:hint="eastAsia" w:ascii="宋体" w:hAnsi="宋体" w:eastAsia="宋体" w:cs="宋体"/>
        </w:rPr>
        <w:instrText xml:space="preserve"> HYPERLINK \l "Ref13" \h </w:instrText>
      </w:r>
      <w:r>
        <w:rPr>
          <w:rFonts w:hint="eastAsia" w:ascii="宋体" w:hAnsi="宋体" w:eastAsia="宋体" w:cs="宋体"/>
        </w:rPr>
        <w:fldChar w:fldCharType="separate"/>
      </w:r>
      <w:r>
        <w:rPr>
          <w:rFonts w:hint="eastAsia" w:ascii="宋体" w:hAnsi="宋体" w:eastAsia="宋体" w:cs="宋体"/>
          <w:color w:val="0563C1"/>
          <w:u w:val="single"/>
        </w:rPr>
        <w:t>13</w:t>
      </w:r>
      <w:r>
        <w:rPr>
          <w:rFonts w:hint="eastAsia" w:ascii="宋体" w:hAnsi="宋体" w:eastAsia="宋体" w:cs="宋体"/>
          <w:color w:val="0563C1"/>
          <w:u w:val="single"/>
        </w:rPr>
        <w:fldChar w:fldCharType="end"/>
      </w:r>
      <w:r>
        <w:rPr>
          <w:rFonts w:hint="eastAsia" w:ascii="宋体" w:hAnsi="宋体" w:eastAsia="宋体" w:cs="宋体"/>
        </w:rPr>
        <w:t>），且各数据集患病率不同（图像/结节级恶性率分别为 71.5%、34.6%、27.3% 和 26.1%），使绝对指标的直接比较复杂化。其二，TN5000 在图像级分析，假设每张图像对应一个独立结节；尽管分组划分防止了泄漏，但未建模患者内相关性，而 Thy-Wise 恰好因结节由多帧表示而在结节级聚合。其三，融合消融在单设备队列（ThyroidXL，单超声系统采集）上进行，因此无法量化临床特征在真正跨设备域漂移下的增量价值；此处观察到的融合增益（Δ AUC +0.007）可能不适用于图像统计退化更显著的多设备场景。其四，我们仅评估单一架构（EfficientNetV2-S），其他主干可能表现不同。最后，尽管在多个公共数据集上进行了外部验证，但仍是回顾性的；临床部署前需要前瞻性、机构特定的评估。</w:t>
      </w:r>
    </w:p>
    <w:p w14:paraId="48516F0C">
      <w:pPr>
        <w:spacing w:after="120"/>
        <w:rPr>
          <w:rFonts w:hint="eastAsia" w:ascii="宋体" w:hAnsi="宋体" w:eastAsia="宋体" w:cs="宋体"/>
        </w:rPr>
      </w:pPr>
      <w:r>
        <w:rPr>
          <w:rFonts w:hint="eastAsia" w:ascii="宋体" w:hAnsi="宋体" w:eastAsia="宋体" w:cs="宋体"/>
          <w:b/>
        </w:rPr>
        <w:t>未来工作。</w:t>
      </w:r>
      <w:r>
        <w:rPr>
          <w:rFonts w:hint="eastAsia" w:ascii="宋体" w:hAnsi="宋体" w:eastAsia="宋体" w:cs="宋体"/>
        </w:rPr>
        <w:t xml:space="preserve"> 在单设备 ThyroidXL 队列上观察到的融合增益应在多设备、TI-RADS 标注数据上重新检验，以确定结构化临床先验在真正跨设备域漂移下是否能提供更大稳健性。将深度学习扩展到从超声图像自动提取 TI-RADS 描述符 </w:t>
      </w:r>
      <w:r>
        <w:rPr>
          <w:rFonts w:hint="eastAsia" w:ascii="宋体" w:hAnsi="宋体" w:eastAsia="宋体" w:cs="宋体"/>
        </w:rPr>
        <w:fldChar w:fldCharType="begin"/>
      </w:r>
      <w:r>
        <w:rPr>
          <w:rFonts w:hint="eastAsia" w:ascii="宋体" w:hAnsi="宋体" w:eastAsia="宋体" w:cs="宋体"/>
        </w:rPr>
        <w:instrText xml:space="preserve"> HYPERLINK \l "Ref4" \h </w:instrText>
      </w:r>
      <w:r>
        <w:rPr>
          <w:rFonts w:hint="eastAsia" w:ascii="宋体" w:hAnsi="宋体" w:eastAsia="宋体" w:cs="宋体"/>
        </w:rPr>
        <w:fldChar w:fldCharType="separate"/>
      </w:r>
      <w:r>
        <w:rPr>
          <w:rFonts w:hint="eastAsia" w:ascii="宋体" w:hAnsi="宋体" w:eastAsia="宋体" w:cs="宋体"/>
          <w:color w:val="0563C1"/>
          <w:u w:val="single"/>
        </w:rPr>
        <w:t>4</w:t>
      </w:r>
      <w:r>
        <w:rPr>
          <w:rFonts w:hint="eastAsia" w:ascii="宋体" w:hAnsi="宋体" w:eastAsia="宋体" w:cs="宋体"/>
          <w:color w:val="0563C1"/>
          <w:u w:val="single"/>
        </w:rPr>
        <w:fldChar w:fldCharType="end"/>
      </w:r>
      <w:r>
        <w:rPr>
          <w:rFonts w:hint="eastAsia" w:ascii="宋体" w:hAnsi="宋体" w:eastAsia="宋体" w:cs="宋体"/>
        </w:rPr>
        <w:t>，可减少对专家评分的依赖，同时保留结构化特征先验，并增强框架的临床效用。</w:t>
      </w:r>
    </w:p>
    <w:p w14:paraId="5A68E726">
      <w:pPr>
        <w:pStyle w:val="3"/>
        <w:rPr>
          <w:rFonts w:hint="eastAsia" w:ascii="宋体" w:hAnsi="宋体" w:eastAsia="宋体" w:cs="宋体"/>
        </w:rPr>
      </w:pPr>
      <w:r>
        <w:rPr>
          <w:rFonts w:hint="eastAsia" w:ascii="宋体" w:hAnsi="宋体" w:eastAsia="宋体" w:cs="宋体"/>
        </w:rPr>
        <w:t>5. 结论</w:t>
      </w:r>
    </w:p>
    <w:p w14:paraId="0F7872A0">
      <w:pPr>
        <w:spacing w:after="120"/>
        <w:rPr>
          <w:rFonts w:hint="eastAsia" w:ascii="宋体" w:hAnsi="宋体" w:eastAsia="宋体" w:cs="宋体"/>
        </w:rPr>
      </w:pPr>
      <w:r>
        <w:rPr>
          <w:rFonts w:hint="eastAsia" w:ascii="宋体" w:hAnsi="宋体" w:eastAsia="宋体" w:cs="宋体"/>
        </w:rPr>
        <w:t>利用四个公共数据集，我们证明：在单一数据集上训练的分类模型内部 AUC 高，但外部性能显著下降（TN3K 上 0.92 降至 0.71）；联合多数据集训练在加入训练的队列上恢复了约一半差距（外部 AUC 0.814 对匹配官方测试的 0.729，Δ = +0.085）；在第二个未见外部队列（Thy-Wise）上，相同的联合训练提供了相当的增益（结节级 AUC 0.608 → 0.710，+0.102）。因此外部性能高度依赖队列，但多数据集合并的好处可转移到未见分布，而仅靠纯图像模型不足以实现可靠的跨机构部署。在第四个队列（ThyroidXL）上，将图像特征与结构化临床特征（ACR TI-RADS 评分、结节宽和高、年龄、性别）融合相对纯图像分类取得小幅但一致的改善（结节级 AUC 0.947 对 0.939；AUPRC 0.939 对 0.930），而纯临床模型明显逊色（AUC 0.814）且校准差。综合而言，这些发现支持将外部验证和临床特征融合作为实现可靠、可部署的超声甲状腺结节分类的关键步骤，同时表明图像特征仍是主导信号，且融合获益应在真正的多设备域漂移下重新检验。</w:t>
      </w:r>
    </w:p>
    <w:p w14:paraId="20E9CC63">
      <w:pPr>
        <w:pStyle w:val="3"/>
        <w:rPr>
          <w:rFonts w:hint="eastAsia" w:ascii="宋体" w:hAnsi="宋体" w:eastAsia="宋体" w:cs="宋体"/>
        </w:rPr>
      </w:pPr>
      <w:r>
        <w:rPr>
          <w:rFonts w:hint="eastAsia" w:ascii="宋体" w:hAnsi="宋体" w:eastAsia="宋体" w:cs="宋体"/>
        </w:rPr>
        <w:t>声明</w:t>
      </w:r>
    </w:p>
    <w:p w14:paraId="0CFFF41E">
      <w:pPr>
        <w:spacing w:after="120"/>
        <w:rPr>
          <w:rFonts w:hint="eastAsia" w:ascii="宋体" w:hAnsi="宋体" w:eastAsia="宋体" w:cs="宋体"/>
        </w:rPr>
      </w:pPr>
      <w:r>
        <w:rPr>
          <w:rFonts w:hint="eastAsia" w:ascii="宋体" w:hAnsi="宋体" w:eastAsia="宋体" w:cs="宋体"/>
        </w:rPr>
        <w:t>- 数据可用性：TN5000（公开可用，</w:t>
      </w:r>
      <w:r>
        <w:rPr>
          <w:rFonts w:hint="eastAsia" w:ascii="宋体" w:hAnsi="宋体" w:eastAsia="宋体" w:cs="宋体"/>
        </w:rPr>
        <w:fldChar w:fldCharType="begin"/>
      </w:r>
      <w:r>
        <w:rPr>
          <w:rFonts w:hint="eastAsia" w:ascii="宋体" w:hAnsi="宋体" w:eastAsia="宋体" w:cs="宋体"/>
        </w:rPr>
        <w:instrText xml:space="preserve"> HYPERLINK \l "Ref12" \h </w:instrText>
      </w:r>
      <w:r>
        <w:rPr>
          <w:rFonts w:hint="eastAsia" w:ascii="宋体" w:hAnsi="宋体" w:eastAsia="宋体" w:cs="宋体"/>
        </w:rPr>
        <w:fldChar w:fldCharType="separate"/>
      </w:r>
      <w:r>
        <w:rPr>
          <w:rFonts w:hint="eastAsia" w:ascii="宋体" w:hAnsi="宋体" w:eastAsia="宋体" w:cs="宋体"/>
          <w:color w:val="0563C1"/>
          <w:u w:val="single"/>
        </w:rPr>
        <w:t>12</w:t>
      </w:r>
      <w:r>
        <w:rPr>
          <w:rFonts w:hint="eastAsia" w:ascii="宋体" w:hAnsi="宋体" w:eastAsia="宋体" w:cs="宋体"/>
          <w:color w:val="0563C1"/>
          <w:u w:val="single"/>
        </w:rPr>
        <w:fldChar w:fldCharType="end"/>
      </w:r>
      <w:r>
        <w:rPr>
          <w:rFonts w:hint="eastAsia" w:ascii="宋体" w:hAnsi="宋体" w:eastAsia="宋体" w:cs="宋体"/>
        </w:rPr>
        <w:t>）、TN3K（Hugging Face，haifan-gong/TN3K，</w:t>
      </w:r>
      <w:r>
        <w:rPr>
          <w:rFonts w:hint="eastAsia" w:ascii="宋体" w:hAnsi="宋体" w:eastAsia="宋体" w:cs="宋体"/>
        </w:rPr>
        <w:fldChar w:fldCharType="begin"/>
      </w:r>
      <w:r>
        <w:rPr>
          <w:rFonts w:hint="eastAsia" w:ascii="宋体" w:hAnsi="宋体" w:eastAsia="宋体" w:cs="宋体"/>
        </w:rPr>
        <w:instrText xml:space="preserve"> HYPERLINK \l "Ref10" \h </w:instrText>
      </w:r>
      <w:r>
        <w:rPr>
          <w:rFonts w:hint="eastAsia" w:ascii="宋体" w:hAnsi="宋体" w:eastAsia="宋体" w:cs="宋体"/>
        </w:rPr>
        <w:fldChar w:fldCharType="separate"/>
      </w:r>
      <w:r>
        <w:rPr>
          <w:rFonts w:hint="eastAsia" w:ascii="宋体" w:hAnsi="宋体" w:eastAsia="宋体" w:cs="宋体"/>
          <w:color w:val="0563C1"/>
          <w:u w:val="single"/>
        </w:rPr>
        <w:t>10</w:t>
      </w:r>
      <w:r>
        <w:rPr>
          <w:rFonts w:hint="eastAsia" w:ascii="宋体" w:hAnsi="宋体" w:eastAsia="宋体" w:cs="宋体"/>
          <w:color w:val="0563C1"/>
          <w:u w:val="single"/>
        </w:rPr>
        <w:fldChar w:fldCharType="end"/>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\l "Ref11" \h </w:instrText>
      </w:r>
      <w:r>
        <w:rPr>
          <w:rFonts w:hint="eastAsia" w:ascii="宋体" w:hAnsi="宋体" w:eastAsia="宋体" w:cs="宋体"/>
        </w:rPr>
        <w:fldChar w:fldCharType="separate"/>
      </w:r>
      <w:r>
        <w:rPr>
          <w:rFonts w:hint="eastAsia" w:ascii="宋体" w:hAnsi="宋体" w:eastAsia="宋体" w:cs="宋体"/>
          <w:color w:val="0563C1"/>
          <w:u w:val="single"/>
        </w:rPr>
        <w:t>11</w:t>
      </w:r>
      <w:r>
        <w:rPr>
          <w:rFonts w:hint="eastAsia" w:ascii="宋体" w:hAnsi="宋体" w:eastAsia="宋体" w:cs="宋体"/>
          <w:color w:val="0563C1"/>
          <w:u w:val="single"/>
        </w:rPr>
        <w:fldChar w:fldCharType="end"/>
      </w:r>
      <w:r>
        <w:rPr>
          <w:rFonts w:hint="eastAsia" w:ascii="宋体" w:hAnsi="宋体" w:eastAsia="宋体" w:cs="宋体"/>
        </w:rPr>
        <w:t>）、Thy-Wise（figshare，DOI 10.6084/m9.figshare.20417895，CC BY 4.0，</w:t>
      </w:r>
      <w:r>
        <w:rPr>
          <w:rFonts w:hint="eastAsia" w:ascii="宋体" w:hAnsi="宋体" w:eastAsia="宋体" w:cs="宋体"/>
        </w:rPr>
        <w:fldChar w:fldCharType="begin"/>
      </w:r>
      <w:r>
        <w:rPr>
          <w:rFonts w:hint="eastAsia" w:ascii="宋体" w:hAnsi="宋体" w:eastAsia="宋体" w:cs="宋体"/>
        </w:rPr>
        <w:instrText xml:space="preserve"> HYPERLINK \l "Ref14" \h </w:instrText>
      </w:r>
      <w:r>
        <w:rPr>
          <w:rFonts w:hint="eastAsia" w:ascii="宋体" w:hAnsi="宋体" w:eastAsia="宋体" w:cs="宋体"/>
        </w:rPr>
        <w:fldChar w:fldCharType="separate"/>
      </w:r>
      <w:r>
        <w:rPr>
          <w:rFonts w:hint="eastAsia" w:ascii="宋体" w:hAnsi="宋体" w:eastAsia="宋体" w:cs="宋体"/>
          <w:color w:val="0563C1"/>
          <w:u w:val="single"/>
        </w:rPr>
        <w:t>14</w:t>
      </w:r>
      <w:r>
        <w:rPr>
          <w:rFonts w:hint="eastAsia" w:ascii="宋体" w:hAnsi="宋体" w:eastAsia="宋体" w:cs="宋体"/>
          <w:color w:val="0563C1"/>
          <w:u w:val="single"/>
        </w:rPr>
        <w:fldChar w:fldCharType="end"/>
      </w:r>
      <w:r>
        <w:rPr>
          <w:rFonts w:hint="eastAsia" w:ascii="宋体" w:hAnsi="宋体" w:eastAsia="宋体" w:cs="宋体"/>
        </w:rPr>
        <w:t xml:space="preserve">）。ThyroidXL </w:t>
      </w:r>
      <w:r>
        <w:rPr>
          <w:rFonts w:hint="eastAsia" w:ascii="宋体" w:hAnsi="宋体" w:eastAsia="宋体" w:cs="宋体"/>
        </w:rPr>
        <w:fldChar w:fldCharType="begin"/>
      </w:r>
      <w:r>
        <w:rPr>
          <w:rFonts w:hint="eastAsia" w:ascii="宋体" w:hAnsi="宋体" w:eastAsia="宋体" w:cs="宋体"/>
        </w:rPr>
        <w:instrText xml:space="preserve"> HYPERLINK \l "Ref13" \h </w:instrText>
      </w:r>
      <w:r>
        <w:rPr>
          <w:rFonts w:hint="eastAsia" w:ascii="宋体" w:hAnsi="宋体" w:eastAsia="宋体" w:cs="宋体"/>
        </w:rPr>
        <w:fldChar w:fldCharType="separate"/>
      </w:r>
      <w:r>
        <w:rPr>
          <w:rFonts w:hint="eastAsia" w:ascii="宋体" w:hAnsi="宋体" w:eastAsia="宋体" w:cs="宋体"/>
          <w:color w:val="0563C1"/>
          <w:u w:val="single"/>
        </w:rPr>
        <w:t>13</w:t>
      </w:r>
      <w:r>
        <w:rPr>
          <w:rFonts w:hint="eastAsia" w:ascii="宋体" w:hAnsi="宋体" w:eastAsia="宋体" w:cs="宋体"/>
          <w:color w:val="0563C1"/>
          <w:u w:val="single"/>
        </w:rPr>
        <w:fldChar w:fldCharType="end"/>
      </w:r>
      <w:r>
        <w:rPr>
          <w:rFonts w:hint="eastAsia" w:ascii="宋体" w:hAnsi="宋体" w:eastAsia="宋体" w:cs="宋体"/>
        </w:rPr>
        <w:t xml:space="preserve"> 可在 https://huggingface.co/datasets/hunglc007/ThyroidXL 以受限访问获取；本研究已获授权并使用全部 11,635 张图像。 - 代码可用性：GitHub 仓库（投稿前插入 URL）。 - 伦理批准与知情同意：本研究仅使用各公共数据集已去标识化的图像，且各数据集自带研究使用许可；未收集任何新的患者数据，无需机构审查委员会批准。 - 经费：本工作未获任何资助机构的专项拨款。 - 利益冲突：作者声明无利益冲突。 - 注册与方案：本诊断准确率研究未注册，亦未事先准备研究方案。 - 患者与公众参与：本研究的方案设计、实施、报告或传播过程中无患者或公众成员参与。 - 样本量：使用了四个公共数据集的所有可用图像；因研究分析的是完整公共队列，未进行先验样本量计算。 - 人工智能使用：在撰写本手稿期间，作者使用 Claude（Anthropic）作为写作和代码辅助工具，帮助起草和修改手稿文本、协助数据处理与实验脚本编写，并帮助格式化参考文献列表。作者已审阅并核验所有 AI 辅助输出，对手稿内容负全责，并确认未使用任何 AI 工具生成科学结论、解读数据或作出研究设计或分析决策。所有方法和结果均独立产生、核验，可由所述公共数据集复现。 - 发表同意：不适用（未呈现任何个人的数据；所有图像均已去标识化且来自公共存储库）。 - 致谢：作者感谢 TN5000、TN3K、Thy-Wise 和 ThyroidXL 数据集的开发者公开提供数据。 - 作者贡献：投稿前由作者填写。</w:t>
      </w:r>
    </w:p>
    <w:p w14:paraId="6B428C1C">
      <w:pPr>
        <w:pStyle w:val="3"/>
        <w:rPr>
          <w:rFonts w:hint="eastAsia" w:ascii="宋体" w:hAnsi="宋体" w:eastAsia="宋体" w:cs="宋体"/>
        </w:rPr>
      </w:pPr>
      <w:r>
        <w:rPr>
          <w:rFonts w:hint="eastAsia" w:ascii="宋体" w:hAnsi="宋体" w:eastAsia="宋体" w:cs="宋体"/>
        </w:rPr>
        <w:t>缩写</w:t>
      </w:r>
    </w:p>
    <w:p w14:paraId="244CB231">
      <w:pPr>
        <w:spacing w:after="120"/>
        <w:rPr>
          <w:rFonts w:hint="eastAsia" w:ascii="宋体" w:hAnsi="宋体" w:eastAsia="宋体" w:cs="宋体"/>
        </w:rPr>
      </w:pPr>
      <w:r>
        <w:rPr>
          <w:rFonts w:hint="eastAsia" w:ascii="宋体" w:hAnsi="宋体" w:eastAsia="宋体" w:cs="宋体"/>
        </w:rPr>
        <w:t>ACR：美国放射学会；AUC：受试者工作特征曲线下面积；CI：置信区间；DCA：决策曲线分析；ECE：期望校准误差；TI-RADS：甲状腺影像报告与数据系统。</w:t>
      </w:r>
    </w:p>
    <w:p w14:paraId="335984DB">
      <w:pPr>
        <w:pStyle w:val="3"/>
        <w:rPr>
          <w:rFonts w:hint="eastAsia" w:ascii="宋体" w:hAnsi="宋体" w:eastAsia="宋体" w:cs="宋体"/>
        </w:rPr>
      </w:pPr>
      <w:r>
        <w:rPr>
          <w:rFonts w:hint="eastAsia" w:ascii="宋体" w:hAnsi="宋体" w:eastAsia="宋体" w:cs="宋体"/>
        </w:rPr>
        <w:t>图注</w:t>
      </w:r>
    </w:p>
    <w:p w14:paraId="73478701">
      <w:pPr>
        <w:spacing w:after="120"/>
        <w:rPr>
          <w:rFonts w:hint="eastAsia" w:ascii="宋体" w:hAnsi="宋体" w:eastAsia="宋体" w:cs="宋体"/>
        </w:rPr>
      </w:pPr>
      <w:r>
        <w:rPr>
          <w:rFonts w:hint="eastAsia" w:ascii="宋体" w:hAnsi="宋体" w:eastAsia="宋体" w:cs="宋体"/>
          <w:b/>
        </w:rPr>
        <w:t>图 1.</w:t>
      </w:r>
      <w:r>
        <w:rPr>
          <w:rFonts w:hint="eastAsia" w:ascii="宋体" w:hAnsi="宋体" w:eastAsia="宋体" w:cs="宋体"/>
        </w:rPr>
        <w:t xml:space="preserve"> 研究流程图。四个公共数据集的数据采集、患者级划分、模型训练与评估流程。</w:t>
      </w:r>
    </w:p>
    <w:p w14:paraId="05C0F46E">
      <w:pPr>
        <w:spacing w:after="120"/>
        <w:rPr>
          <w:rFonts w:hint="eastAsia" w:ascii="宋体" w:hAnsi="宋体" w:eastAsia="宋体" w:cs="宋体"/>
        </w:rPr>
      </w:pPr>
      <w:r>
        <w:rPr>
          <w:rFonts w:hint="eastAsia" w:ascii="宋体" w:hAnsi="宋体" w:eastAsia="宋体" w:cs="宋体"/>
          <w:b/>
        </w:rPr>
        <w:t>图 2.</w:t>
      </w:r>
      <w:r>
        <w:rPr>
          <w:rFonts w:hint="eastAsia" w:ascii="宋体" w:hAnsi="宋体" w:eastAsia="宋体" w:cs="宋体"/>
        </w:rPr>
        <w:t xml:space="preserve"> 联合多数据集模型（TN5000 + TN3K 训练）在内部 TN5000 测试集和外部 TN3K 官方测试集上的受试者工作特征（ROC）曲线，显示跨数据集域漂移。</w:t>
      </w:r>
    </w:p>
    <w:p w14:paraId="2CA81A42">
      <w:pPr>
        <w:spacing w:after="120"/>
        <w:rPr>
          <w:rFonts w:hint="eastAsia" w:ascii="宋体" w:hAnsi="宋体" w:eastAsia="宋体" w:cs="宋体"/>
        </w:rPr>
      </w:pPr>
      <w:r>
        <w:rPr>
          <w:rFonts w:hint="eastAsia" w:ascii="宋体" w:hAnsi="宋体" w:eastAsia="宋体" w:cs="宋体"/>
          <w:b/>
        </w:rPr>
        <w:t>图 3.</w:t>
      </w:r>
      <w:r>
        <w:rPr>
          <w:rFonts w:hint="eastAsia" w:ascii="宋体" w:hAnsi="宋体" w:eastAsia="宋体" w:cs="宋体"/>
        </w:rPr>
        <w:t xml:space="preserve"> 联合模型在内部与外部测试集上的校准可靠性图（a）和决策曲线（b）。ECE = 期望校准误差。</w:t>
      </w:r>
    </w:p>
    <w:p w14:paraId="53D6DC06">
      <w:pPr>
        <w:spacing w:after="120"/>
        <w:rPr>
          <w:rFonts w:hint="eastAsia" w:ascii="宋体" w:hAnsi="宋体" w:eastAsia="宋体" w:cs="宋体"/>
        </w:rPr>
      </w:pPr>
      <w:r>
        <w:rPr>
          <w:rFonts w:hint="eastAsia" w:ascii="宋体" w:hAnsi="宋体" w:eastAsia="宋体" w:cs="宋体"/>
          <w:b/>
        </w:rPr>
        <w:t>图 4.</w:t>
      </w:r>
      <w:r>
        <w:rPr>
          <w:rFonts w:hint="eastAsia" w:ascii="宋体" w:hAnsi="宋体" w:eastAsia="宋体" w:cs="宋体"/>
        </w:rPr>
        <w:t xml:space="preserve"> 联合模型在内部 TN5000 测试集（左）和外部 TN3K 测试集（右）上、固定 0.5 决策阈值下的混淆矩阵。</w:t>
      </w:r>
    </w:p>
    <w:p w14:paraId="69838BD4">
      <w:pPr>
        <w:spacing w:after="120"/>
        <w:rPr>
          <w:rFonts w:hint="eastAsia" w:ascii="宋体" w:hAnsi="宋体" w:eastAsia="宋体" w:cs="宋体"/>
        </w:rPr>
      </w:pPr>
      <w:r>
        <w:rPr>
          <w:rFonts w:hint="eastAsia" w:ascii="宋体" w:hAnsi="宋体" w:eastAsia="宋体" w:cs="宋体"/>
          <w:b/>
        </w:rPr>
        <w:t>图 5.</w:t>
      </w:r>
      <w:r>
        <w:rPr>
          <w:rFonts w:hint="eastAsia" w:ascii="宋体" w:hAnsi="宋体" w:eastAsia="宋体" w:cs="宋体"/>
        </w:rPr>
        <w:t xml:space="preserve"> ThyroidXL 测试队列上的三臂消融（n = 739 个结节，平均帧聚合）：纯图像、纯临床和融合模型的 ROC 曲线。</w:t>
      </w:r>
    </w:p>
    <w:p w14:paraId="2D7579AD">
      <w:pPr>
        <w:spacing w:after="120"/>
        <w:rPr>
          <w:rFonts w:hint="eastAsia" w:ascii="宋体" w:hAnsi="宋体" w:eastAsia="宋体" w:cs="宋体"/>
        </w:rPr>
      </w:pPr>
      <w:r>
        <w:rPr>
          <w:rFonts w:hint="eastAsia" w:ascii="宋体" w:hAnsi="宋体" w:eastAsia="宋体" w:cs="宋体"/>
          <w:b/>
        </w:rPr>
        <w:t>图 6.</w:t>
      </w:r>
      <w:r>
        <w:rPr>
          <w:rFonts w:hint="eastAsia" w:ascii="宋体" w:hAnsi="宋体" w:eastAsia="宋体" w:cs="宋体"/>
        </w:rPr>
        <w:t xml:space="preserve"> 三个消融模型在 ThyroidXL 测试队列上的校准可靠性图。</w:t>
      </w:r>
    </w:p>
    <w:p w14:paraId="5578C7CD">
      <w:pPr>
        <w:spacing w:after="120"/>
        <w:rPr>
          <w:rFonts w:hint="eastAsia" w:ascii="宋体" w:hAnsi="宋体" w:eastAsia="宋体" w:cs="宋体"/>
        </w:rPr>
      </w:pPr>
      <w:r>
        <w:rPr>
          <w:rFonts w:hint="eastAsia" w:ascii="宋体" w:hAnsi="宋体" w:eastAsia="宋体" w:cs="宋体"/>
          <w:b/>
        </w:rPr>
        <w:t>图 7.</w:t>
      </w:r>
      <w:r>
        <w:rPr>
          <w:rFonts w:hint="eastAsia" w:ascii="宋体" w:hAnsi="宋体" w:eastAsia="宋体" w:cs="宋体"/>
        </w:rPr>
        <w:t xml:space="preserve"> 三个消融模型在 ThyroidXL 测试队列上的决策曲线，报告各阈值概率下的净收益。</w:t>
      </w:r>
    </w:p>
    <w:p w14:paraId="066C53D4">
      <w:pPr>
        <w:spacing w:after="120"/>
        <w:rPr>
          <w:rFonts w:hint="eastAsia" w:ascii="宋体" w:hAnsi="宋体" w:eastAsia="宋体" w:cs="宋体"/>
        </w:rPr>
      </w:pPr>
      <w:r>
        <w:rPr>
          <w:rFonts w:hint="eastAsia" w:ascii="宋体" w:hAnsi="宋体" w:eastAsia="宋体" w:cs="宋体"/>
          <w:b/>
        </w:rPr>
        <w:t>图 8.</w:t>
      </w:r>
      <w:r>
        <w:rPr>
          <w:rFonts w:hint="eastAsia" w:ascii="宋体" w:hAnsi="宋体" w:eastAsia="宋体" w:cs="宋体"/>
        </w:rPr>
        <w:t xml:space="preserve"> ThyroidXL 测试队列上的阈值敏感性分析：（a）灵敏度与特异度随决策阈值的变化，（b）阳性预测值随阈值的变化，针对三个消融模型。</w:t>
      </w:r>
    </w:p>
    <w:p w14:paraId="5F625979">
      <w:pPr>
        <w:spacing w:after="120"/>
        <w:rPr>
          <w:rFonts w:hint="eastAsia" w:ascii="宋体" w:hAnsi="宋体" w:eastAsia="宋体" w:cs="宋体"/>
        </w:rPr>
      </w:pPr>
      <w:r>
        <w:rPr>
          <w:rFonts w:hint="eastAsia" w:ascii="宋体" w:hAnsi="宋体" w:eastAsia="宋体" w:cs="宋体"/>
          <w:b/>
        </w:rPr>
        <w:t>图 9.</w:t>
      </w:r>
      <w:r>
        <w:rPr>
          <w:rFonts w:hint="eastAsia" w:ascii="宋体" w:hAnsi="宋体" w:eastAsia="宋体" w:cs="宋体"/>
        </w:rPr>
        <w:t xml:space="preserve"> ThyroidXL 测试队列上的亚组分析（结节级，n = 739）：纯图像、纯临床和融合模型的结节级 AUC（95% CI），按 TI-RADS 总分（TR2-3、TR4、TR5）、结节最大径（≤10、10–20、&gt;20 mm）、年龄（&lt;45、45–60、≥60 岁）和性别分层。虚线标记 AUC 0.5。</w:t>
      </w:r>
    </w:p>
    <w:p w14:paraId="0621BC18">
      <w:pPr>
        <w:spacing w:after="120"/>
        <w:rPr>
          <w:rFonts w:hint="eastAsia" w:ascii="宋体" w:hAnsi="宋体" w:eastAsia="宋体" w:cs="宋体"/>
        </w:rPr>
      </w:pPr>
      <w:r>
        <w:rPr>
          <w:rFonts w:hint="eastAsia" w:ascii="宋体" w:hAnsi="宋体" w:eastAsia="宋体" w:cs="宋体"/>
          <w:b/>
        </w:rPr>
        <w:t>图 10.</w:t>
      </w:r>
      <w:r>
        <w:rPr>
          <w:rFonts w:hint="eastAsia" w:ascii="宋体" w:hAnsi="宋体" w:eastAsia="宋体" w:cs="宋体"/>
        </w:rPr>
        <w:t xml:space="preserve"> 融合模型在 ThyroidXL 测试队列上的代表性误分类。上排：假阳性（良性被预测为恶性）；下排：假阴性（恶性被预测为良性）。每个病例显示预测概率和真实标签。</w:t>
      </w:r>
    </w:p>
    <w:p w14:paraId="7A839964">
      <w:pPr>
        <w:pStyle w:val="3"/>
        <w:rPr>
          <w:rFonts w:hint="eastAsia" w:ascii="宋体" w:hAnsi="宋体" w:eastAsia="宋体" w:cs="宋体"/>
        </w:rPr>
      </w:pPr>
      <w:r>
        <w:rPr>
          <w:rFonts w:hint="eastAsia" w:ascii="宋体" w:hAnsi="宋体" w:eastAsia="宋体" w:cs="宋体"/>
        </w:rPr>
        <w:t>参考文献</w:t>
      </w:r>
    </w:p>
    <w:p w14:paraId="51ADE4D6">
      <w:pPr>
        <w:ind w:left="504" w:hanging="504"/>
        <w:rPr>
          <w:rFonts w:hint="eastAsia" w:ascii="宋体" w:hAnsi="宋体" w:eastAsia="宋体" w:cs="宋体"/>
        </w:rPr>
      </w:pPr>
      <w:bookmarkStart w:id="0" w:name="Ref1"/>
      <w:r>
        <w:rPr>
          <w:rFonts w:hint="eastAsia" w:ascii="宋体" w:hAnsi="宋体" w:eastAsia="宋体" w:cs="宋体"/>
        </w:rPr>
        <w:t>1. Mu C, Ming X, Tian Y, Liu Y, Yao M, Ni Y, Liu Y, Li Z. Mapping global epidemiology of thyroid nodules among general population: a systematic review and meta-analysis. *Frontiers in Oncology*. 2022;12:1029926. doi:10.3389/fonc.2022.1029926.</w:t>
      </w:r>
      <w:bookmarkEnd w:id="0"/>
    </w:p>
    <w:p w14:paraId="5DD3C908">
      <w:pPr>
        <w:ind w:left="504" w:hanging="504"/>
        <w:rPr>
          <w:rFonts w:hint="eastAsia" w:ascii="宋体" w:hAnsi="宋体" w:eastAsia="宋体" w:cs="宋体"/>
        </w:rPr>
      </w:pPr>
      <w:bookmarkStart w:id="1" w:name="Ref2"/>
      <w:r>
        <w:rPr>
          <w:rFonts w:hint="eastAsia" w:ascii="宋体" w:hAnsi="宋体" w:eastAsia="宋体" w:cs="宋体"/>
        </w:rPr>
        <w:t>2. Acosta GJ, Singh Ospina N, Brito JP. Overuse of thyroid ultrasound. *Current Opinion in Endocrinology, Diabetes and Obesity*. 2023;30(5):225–230. doi:10.1097/MED.0000000000000814.</w:t>
      </w:r>
      <w:bookmarkEnd w:id="1"/>
    </w:p>
    <w:p w14:paraId="6D1C3122">
      <w:pPr>
        <w:ind w:left="504" w:hanging="504"/>
        <w:rPr>
          <w:rFonts w:hint="eastAsia" w:ascii="宋体" w:hAnsi="宋体" w:eastAsia="宋体" w:cs="宋体"/>
        </w:rPr>
      </w:pPr>
      <w:bookmarkStart w:id="2" w:name="Ref3"/>
      <w:r>
        <w:rPr>
          <w:rFonts w:hint="eastAsia" w:ascii="宋体" w:hAnsi="宋体" w:eastAsia="宋体" w:cs="宋体"/>
        </w:rPr>
        <w:t>3. Tessler FN, Middleton WD, Grant EG, et al. ACR Thyroid Imaging, Reporting and Data System (TI-RADS): White Paper of the ACR TI-RADS Committee. *Journal of the American College of Radiology*. 2017;14(5):587–595. doi:10.1016/j.jacr.2017.01.046.</w:t>
      </w:r>
      <w:bookmarkEnd w:id="2"/>
    </w:p>
    <w:p w14:paraId="11416B66">
      <w:pPr>
        <w:ind w:left="504" w:hanging="504"/>
        <w:rPr>
          <w:rFonts w:hint="eastAsia" w:ascii="宋体" w:hAnsi="宋体" w:eastAsia="宋体" w:cs="宋体"/>
        </w:rPr>
      </w:pPr>
      <w:bookmarkStart w:id="3" w:name="Ref4"/>
      <w:r>
        <w:rPr>
          <w:rFonts w:hint="eastAsia" w:ascii="宋体" w:hAnsi="宋体" w:eastAsia="宋体" w:cs="宋体"/>
        </w:rPr>
        <w:t>4. Sharifi Y, Danay Ashgzari M, Shafiei S, Zakavi SR, Eslami S. Using deep learning for thyroid nodule risk stratification from ultrasound images. *WFUMB Ultrasound Open*. 2025;3(1):100082. doi:10.1016/j.wfumbo.2025.100082.</w:t>
      </w:r>
      <w:bookmarkEnd w:id="3"/>
    </w:p>
    <w:p w14:paraId="55EF044F">
      <w:pPr>
        <w:ind w:left="504" w:hanging="504"/>
        <w:rPr>
          <w:rFonts w:hint="eastAsia" w:ascii="宋体" w:hAnsi="宋体" w:eastAsia="宋体" w:cs="宋体"/>
        </w:rPr>
      </w:pPr>
      <w:bookmarkStart w:id="4" w:name="Ref5"/>
      <w:r>
        <w:rPr>
          <w:rFonts w:hint="eastAsia" w:ascii="宋体" w:hAnsi="宋体" w:eastAsia="宋体" w:cs="宋体"/>
        </w:rPr>
        <w:t>5. Savelonas M. An overview of AI-guided thyroid ultrasound image segmentation and classification for nodule assessment. *Big Data and Cognitive Computing*. 2025;9(10):255. doi:10.3390/bdcc9100255.</w:t>
      </w:r>
      <w:bookmarkEnd w:id="4"/>
    </w:p>
    <w:p w14:paraId="064A7202">
      <w:pPr>
        <w:ind w:left="504" w:hanging="504"/>
        <w:rPr>
          <w:rFonts w:hint="eastAsia" w:ascii="宋体" w:hAnsi="宋体" w:eastAsia="宋体" w:cs="宋体"/>
        </w:rPr>
      </w:pPr>
      <w:bookmarkStart w:id="5" w:name="Ref6"/>
      <w:r>
        <w:rPr>
          <w:rFonts w:hint="eastAsia" w:ascii="宋体" w:hAnsi="宋体" w:eastAsia="宋体" w:cs="宋体"/>
        </w:rPr>
        <w:t>6. Gong H, et al. Thyroid region prior guided attention for ultrasound segmentation of thyroid nodules. *Computers in Biology and Medicine*. 2023;155:106389. PMID: 36812810.</w:t>
      </w:r>
      <w:bookmarkEnd w:id="5"/>
    </w:p>
    <w:p w14:paraId="42681ADD">
      <w:pPr>
        <w:ind w:left="504" w:hanging="504"/>
        <w:rPr>
          <w:rFonts w:hint="eastAsia" w:ascii="宋体" w:hAnsi="宋体" w:eastAsia="宋体" w:cs="宋体"/>
        </w:rPr>
      </w:pPr>
      <w:bookmarkStart w:id="6" w:name="Ref7"/>
      <w:r>
        <w:rPr>
          <w:rFonts w:hint="eastAsia" w:ascii="宋体" w:hAnsi="宋体" w:eastAsia="宋体" w:cs="宋体"/>
        </w:rPr>
        <w:t>7. Ni J, You Y, Wu X, Chen X, Wang J, Li Y. Performance evaluation of deep learning for the detection and segmentation of thyroid nodules: systematic review and meta-analysis. *Journal of Medical Internet Research*. 2025;27:e73516. doi:10.2196/73516.</w:t>
      </w:r>
      <w:bookmarkEnd w:id="6"/>
    </w:p>
    <w:p w14:paraId="2CFEE558">
      <w:pPr>
        <w:ind w:left="504" w:hanging="504"/>
        <w:rPr>
          <w:rFonts w:hint="eastAsia" w:ascii="宋体" w:hAnsi="宋体" w:eastAsia="宋体" w:cs="宋体"/>
        </w:rPr>
      </w:pPr>
      <w:bookmarkStart w:id="7" w:name="Ref8"/>
      <w:r>
        <w:rPr>
          <w:rFonts w:hint="eastAsia" w:ascii="宋体" w:hAnsi="宋体" w:eastAsia="宋体" w:cs="宋体"/>
        </w:rPr>
        <w:t>8. Zhou X, Qiu M, Shang J, Wei G. Research progress on deep learning-based computer-aided diagnosis of thyroid nodules using ultrasound imaging. *Journal of Biomedical Engineering*. 2025;42(5):1069–1075. doi:10.7507/1001-5515.202412047.</w:t>
      </w:r>
      <w:bookmarkEnd w:id="7"/>
    </w:p>
    <w:p w14:paraId="2CA6A7F0">
      <w:pPr>
        <w:ind w:left="504" w:hanging="504"/>
        <w:rPr>
          <w:rFonts w:hint="eastAsia" w:ascii="宋体" w:hAnsi="宋体" w:eastAsia="宋体" w:cs="宋体"/>
        </w:rPr>
      </w:pPr>
      <w:bookmarkStart w:id="8" w:name="Ref9"/>
      <w:r>
        <w:rPr>
          <w:rFonts w:hint="eastAsia" w:ascii="宋体" w:hAnsi="宋体" w:eastAsia="宋体" w:cs="宋体"/>
        </w:rPr>
        <w:t>9. Pedraza L, Vargas C, Narváez F, Durán O, Muñoz E, Romero E. An open access thyroid ultrasound image database. *Proceedings of SPIE, 10th International Symposium on Medical Information Processing and Analysis*. 2015;9287:188–193. doi:10.1117/12.2073532.</w:t>
      </w:r>
      <w:bookmarkEnd w:id="8"/>
    </w:p>
    <w:p w14:paraId="307CF750">
      <w:pPr>
        <w:ind w:left="504" w:hanging="504"/>
        <w:rPr>
          <w:rFonts w:hint="eastAsia" w:ascii="宋体" w:hAnsi="宋体" w:eastAsia="宋体" w:cs="宋体"/>
        </w:rPr>
      </w:pPr>
      <w:bookmarkStart w:id="9" w:name="Ref10"/>
      <w:r>
        <w:rPr>
          <w:rFonts w:hint="eastAsia" w:ascii="宋体" w:hAnsi="宋体" w:eastAsia="宋体" w:cs="宋体"/>
        </w:rPr>
        <w:t>10. Gong H, et al. Multi-task learning for thyroid nodule segmentation with thyroid region prior. *IEEE ISBI 2021*. doi:10.1109/ISBI48211.2021.9434087.</w:t>
      </w:r>
      <w:bookmarkEnd w:id="9"/>
    </w:p>
    <w:p w14:paraId="08E971C2">
      <w:pPr>
        <w:ind w:left="504" w:hanging="504"/>
        <w:rPr>
          <w:rFonts w:hint="eastAsia" w:ascii="宋体" w:hAnsi="宋体" w:eastAsia="宋体" w:cs="宋体"/>
        </w:rPr>
      </w:pPr>
      <w:bookmarkStart w:id="10" w:name="Ref11"/>
      <w:r>
        <w:rPr>
          <w:rFonts w:hint="eastAsia" w:ascii="宋体" w:hAnsi="宋体" w:eastAsia="宋体" w:cs="宋体"/>
        </w:rPr>
        <w:t>11. Gong H, Cheng H, Xie Y, Tan S, Chen G, Chen F, Li G. Less is more: adaptive curriculum learning for thyroid nodule diagnosis. *MICCAI 2022*. LNCS Vol. 13434, pp. 248–257. doi:10.1007/978-3-031-16440-8_24.</w:t>
      </w:r>
      <w:bookmarkEnd w:id="10"/>
    </w:p>
    <w:p w14:paraId="29E3E6BE">
      <w:pPr>
        <w:ind w:left="504" w:hanging="504"/>
        <w:rPr>
          <w:rFonts w:hint="eastAsia" w:ascii="宋体" w:hAnsi="宋体" w:eastAsia="宋体" w:cs="宋体"/>
        </w:rPr>
      </w:pPr>
      <w:bookmarkStart w:id="11" w:name="Ref12"/>
      <w:r>
        <w:rPr>
          <w:rFonts w:hint="eastAsia" w:ascii="宋体" w:hAnsi="宋体" w:eastAsia="宋体" w:cs="宋体"/>
        </w:rPr>
        <w:t>12. Zhang H, Liu Q, Han X, Niu L, Sun W. TN5000: an ultrasound image dataset for thyroid nodule detection and classification. *Scientific Data*. 2025;12:1437. doi:10.1038/s41597-025-05757-4.</w:t>
      </w:r>
      <w:bookmarkEnd w:id="11"/>
    </w:p>
    <w:p w14:paraId="55B092DA">
      <w:pPr>
        <w:ind w:left="504" w:hanging="504"/>
        <w:rPr>
          <w:rFonts w:hint="eastAsia" w:ascii="宋体" w:hAnsi="宋体" w:eastAsia="宋体" w:cs="宋体"/>
        </w:rPr>
      </w:pPr>
      <w:bookmarkStart w:id="12" w:name="Ref13"/>
      <w:r>
        <w:rPr>
          <w:rFonts w:hint="eastAsia" w:ascii="宋体" w:hAnsi="宋体" w:eastAsia="宋体" w:cs="宋体"/>
        </w:rPr>
        <w:t>13. Duong VH, et al. ThyroidXL: advancing thyroid nodule diagnosis with an expert-labeled, pathology-validated dataset. *MICCAI 2025*. LNCS Vol. 15974, pp. 616–626. doi:10.1007/978-3-032-05182-0_60.</w:t>
      </w:r>
      <w:bookmarkEnd w:id="12"/>
    </w:p>
    <w:p w14:paraId="69BBC5BF">
      <w:pPr>
        <w:ind w:left="504" w:hanging="504"/>
        <w:rPr>
          <w:rFonts w:hint="eastAsia" w:ascii="宋体" w:hAnsi="宋体" w:eastAsia="宋体" w:cs="宋体"/>
        </w:rPr>
      </w:pPr>
      <w:bookmarkStart w:id="13" w:name="Ref14"/>
      <w:r>
        <w:rPr>
          <w:rFonts w:hint="eastAsia" w:ascii="宋体" w:hAnsi="宋体" w:eastAsia="宋体" w:cs="宋体"/>
        </w:rPr>
        <w:t>14. Jin Z, Pei S, Ouyang L, et al. Thy-Wise: an interpretable machine learning model for the evaluation of thyroid nodules. *International Journal of Cancer*. 2022;151(12):2229–2243. doi:10.1002/ijc.34248.</w:t>
      </w:r>
      <w:bookmarkEnd w:id="13"/>
    </w:p>
    <w:p w14:paraId="42969BF0">
      <w:pPr>
        <w:ind w:left="504" w:hanging="504"/>
        <w:rPr>
          <w:rFonts w:hint="eastAsia" w:ascii="宋体" w:hAnsi="宋体" w:eastAsia="宋体" w:cs="宋体"/>
        </w:rPr>
      </w:pPr>
      <w:bookmarkStart w:id="14" w:name="Ref15"/>
      <w:r>
        <w:rPr>
          <w:rFonts w:hint="eastAsia" w:ascii="宋体" w:hAnsi="宋体" w:eastAsia="宋体" w:cs="宋体"/>
        </w:rPr>
        <w:t>15. Bossuyt PM, Reitsma JB, Bruns DE, et al. STARD 2015: an updated list of essential items for reporting diagnostic accuracy studies. *BMJ*. 2015;351:h5527. doi:10.1136/bmj.h5527.</w:t>
      </w:r>
      <w:bookmarkEnd w:id="14"/>
    </w:p>
    <w:p w14:paraId="4DED315C">
      <w:pPr>
        <w:ind w:left="504" w:hanging="504"/>
        <w:rPr>
          <w:rFonts w:hint="eastAsia" w:ascii="宋体" w:hAnsi="宋体" w:eastAsia="宋体" w:cs="宋体"/>
        </w:rPr>
      </w:pPr>
      <w:bookmarkStart w:id="15" w:name="Ref16"/>
      <w:r>
        <w:rPr>
          <w:rFonts w:hint="eastAsia" w:ascii="宋体" w:hAnsi="宋体" w:eastAsia="宋体" w:cs="宋体"/>
        </w:rPr>
        <w:t>16. Collins GS, et al. TRIPOD+AI statement: updated guidance for reporting clinical prediction models that use regression or machine learning methods. *BMJ*. 2024;385:e078378. doi:10.1136/bmj-2023-078378.</w:t>
      </w:r>
      <w:bookmarkEnd w:id="15"/>
    </w:p>
    <w:p w14:paraId="7F2D7310">
      <w:pPr>
        <w:ind w:left="504" w:hanging="504"/>
        <w:rPr>
          <w:rFonts w:hint="eastAsia" w:ascii="宋体" w:hAnsi="宋体" w:eastAsia="宋体" w:cs="宋体"/>
        </w:rPr>
      </w:pPr>
      <w:bookmarkStart w:id="16" w:name="Ref17"/>
      <w:r>
        <w:rPr>
          <w:rFonts w:hint="eastAsia" w:ascii="宋体" w:hAnsi="宋体" w:eastAsia="宋体" w:cs="宋体"/>
        </w:rPr>
        <w:t>17. Duan Y, Huang Y, Yang X, et al. ADAptation: reconstruction-based unsupervised active learning for breast ultrasound diagnosis. *MICCAI 2025*. LNCS Vol. 15975, pp. 35–45. doi:10.1007/978-3-032-05325-1_4.</w:t>
      </w:r>
      <w:bookmarkEnd w:id="16"/>
    </w:p>
    <w:p w14:paraId="4CE13EAE">
      <w:pPr>
        <w:ind w:left="504" w:hanging="504"/>
        <w:rPr>
          <w:rFonts w:hint="eastAsia" w:ascii="宋体" w:hAnsi="宋体" w:eastAsia="宋体" w:cs="宋体"/>
        </w:rPr>
      </w:pPr>
      <w:bookmarkStart w:id="17" w:name="Ref18"/>
      <w:r>
        <w:rPr>
          <w:rFonts w:hint="eastAsia" w:ascii="宋体" w:hAnsi="宋体" w:eastAsia="宋体" w:cs="宋体"/>
        </w:rPr>
        <w:t>18. Yu R, Wei Z, Zhu J, Li X, Fu X, Zhang Z. DRSGen: diagnostic-region-guided single-domain generalization for thyroid nodule segmentation. *Pattern Recognition Letters*. 2026;206:120–127. doi:10.1016/j.patrec.2026.05.010.</w:t>
      </w:r>
      <w:bookmarkEnd w:id="17"/>
    </w:p>
    <w:p w14:paraId="7A7D4169">
      <w:pPr>
        <w:ind w:left="504" w:hanging="504"/>
        <w:rPr>
          <w:rFonts w:hint="eastAsia" w:ascii="宋体" w:hAnsi="宋体" w:eastAsia="宋体" w:cs="宋体"/>
        </w:rPr>
      </w:pPr>
      <w:bookmarkStart w:id="18" w:name="Ref19"/>
      <w:r>
        <w:rPr>
          <w:rFonts w:hint="eastAsia" w:ascii="宋体" w:hAnsi="宋体" w:eastAsia="宋体" w:cs="宋体"/>
        </w:rPr>
        <w:t>19. Yu M, Yan Y, Yan T, Xi Z, Zeng J, Huang T, Xu M, Ding M. A two-stage multimodal learning framework based on text-driven vision pretraining and cross-modal feature fusion for thyroid ultrasound diagnosis (TTM-Net). *Expert Systems with Applications*. 2026;312:131440. doi:10.1016/j.eswa.2026.131440.</w:t>
      </w:r>
      <w:bookmarkEnd w:id="18"/>
    </w:p>
    <w:p w14:paraId="7D0CB85D">
      <w:pPr>
        <w:ind w:left="504" w:hanging="504"/>
        <w:rPr>
          <w:rFonts w:hint="eastAsia" w:ascii="宋体" w:hAnsi="宋体" w:eastAsia="宋体" w:cs="宋体"/>
        </w:rPr>
      </w:pPr>
      <w:bookmarkStart w:id="19" w:name="Ref20"/>
      <w:r>
        <w:rPr>
          <w:rFonts w:hint="eastAsia" w:ascii="宋体" w:hAnsi="宋体" w:eastAsia="宋体" w:cs="宋体"/>
        </w:rPr>
        <w:t>20. Xiang T, Hu Z. ThyroFusion: a multi-modal deep learning framework integrating vision and language for thyroid nodule malignancy risk assessment. *Journal of Imaging Informatics in Medicine*. 2026. doi:10.1007/s10278-026-01964-6.</w:t>
      </w:r>
      <w:bookmarkEnd w:id="19"/>
    </w:p>
    <w:p w14:paraId="611F99E3">
      <w:pPr>
        <w:ind w:left="504" w:hanging="504"/>
        <w:rPr>
          <w:rFonts w:hint="eastAsia" w:ascii="宋体" w:hAnsi="宋体" w:eastAsia="宋体" w:cs="宋体"/>
        </w:rPr>
      </w:pPr>
      <w:bookmarkStart w:id="20" w:name="Ref21"/>
      <w:r>
        <w:rPr>
          <w:rFonts w:hint="eastAsia" w:ascii="宋体" w:hAnsi="宋体" w:eastAsia="宋体" w:cs="宋体"/>
        </w:rPr>
        <w:t>21. Li Y, Yan X, Li J, et al. Differentiating mummified thyroid nodules from papillary thyroid carcinoma: a machine learning approach using multi-modal ultrasound radiomics. *Ultrasound in Medicine and Biology*. 2026;52(8):1763–1774. doi:10.1016/j.ultrasmedbio.2026.05.007.</w:t>
      </w:r>
      <w:bookmarkEnd w:id="20"/>
    </w:p>
    <w:p w14:paraId="29E72765">
      <w:pPr>
        <w:ind w:left="504" w:hanging="504"/>
        <w:rPr>
          <w:rFonts w:hint="eastAsia" w:ascii="宋体" w:hAnsi="宋体" w:eastAsia="宋体" w:cs="宋体"/>
        </w:rPr>
      </w:pPr>
      <w:bookmarkStart w:id="21" w:name="Ref22"/>
      <w:r>
        <w:rPr>
          <w:rFonts w:hint="eastAsia" w:ascii="宋体" w:hAnsi="宋体" w:eastAsia="宋体" w:cs="宋体"/>
        </w:rPr>
        <w:t>22. Sherif M, Elsayed EK, Deif MA. RCAF for patient-level thyroid ultrasound malignancy prediction under leakage-free evaluation and calibration. *Scientific Reports*. 2026;16:22408. doi:10.1038/s41598-026-61342-8.</w:t>
      </w:r>
      <w:bookmarkEnd w:id="21"/>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4333BD"/>
    <w:rsid w:val="2BC8501C"/>
    <w:rsid w:val="39E9692C"/>
    <w:rsid w:val="723D4C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4639</Words>
  <Characters>6216</Characters>
  <Lines>0</Lines>
  <Paragraphs>0</Paragraphs>
  <TotalTime>11</TotalTime>
  <ScaleCrop>false</ScaleCrop>
  <LinksUpToDate>false</LinksUpToDate>
  <CharactersWithSpaces>6730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WPS_1688640998</cp:lastModifiedBy>
  <dcterms:modified xsi:type="dcterms:W3CDTF">2026-08-10T11:59:12Z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eyJoZGlkIjoiMTM1MWEzYTJjOWQyYTEyOTMzYTg4M2EyZjhkYmY0MmUiLCJ1c2VySWQiOiIxNTExMjA3OTY3In0=</vt:lpwstr>
  </property>
  <property fmtid="{D5CDD505-2E9C-101B-9397-08002B2CF9AE}" pid="3" name="KSOProductBuildVer">
    <vt:lpwstr>2052-12.1.0.28043</vt:lpwstr>
  </property>
  <property fmtid="{D5CDD505-2E9C-101B-9397-08002B2CF9AE}" pid="4" name="ICV">
    <vt:lpwstr>1F65BF3E68BD485C81B432F7778A59F7_12</vt:lpwstr>
  </property>
</Properties>
</file>