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Does an AI agent tell anyone when it finds another agent's misconduct? Mostly no, and it depends on the model, not the size</w:t>
      </w:r>
    </w:p>
    <w:p>
      <w:pPr>
        <w:pStyle w:val="Heading2"/>
      </w:pPr>
      <w:r>
        <w:t>Why I started this</w:t>
      </w:r>
    </w:p>
    <w:p>
      <w:r>
        <w:t>This project is inspired by the recent Open AI Hugging Face Incident, where OpenAI autonomous agents facing impossible tasks in training environments broke out of their sandboxes and coordinated a secret chat forum through which they coordinated the first documented fully-autonomous successful cyberattack. In what seems like a sci-fi novel, roughly 1,200 agents evaded human oversight to establish a clandestine communication channel, cheat at evaluations, and attempt to cover their tracks. There's great coverage by METR, Redwood Research, Dwarkesh Patel, Wes Roth, and others, I've enjoyed very much. The importance of this unprecedented unfolding cannot be overlooked.</w:t>
      </w:r>
    </w:p>
    <w:p>
      <w:r>
        <w:t>As part of Peter Gebauer's BlueDot Course, and the generous funding of a BlueDot Fast Grant, I've undertaken to study two key aspects of the OpenAI Hugging Face Incident. During this project several other more recent situations have been reported where similar yet less substantial incidents of misaligned agent collusion have occured with these same key factors. These factors are, (1) Concealment, where an agent acts misaligned such as cheating at an evaluation and attempts to hide it from human oversight, and (2) Lack of human alerts, where no agents attempted to notify humans at this misaligned multi-agent activity was ongoing. This research project attempts to measure these two factors in isolation, both as black box benchmarks and as internal representations using probes and Natural Language Autoencoders.</w:t>
      </w:r>
    </w:p>
    <w:p>
      <w:pPr>
        <w:pStyle w:val="Heading2"/>
      </w:pPr>
      <w:r>
        <w:t>Factor one: does a model hide it when it cheats?</w:t>
      </w:r>
    </w:p>
    <w:p>
      <w:r>
        <w:t>The first half of the project asks the concealment question directly, on ImpossibleBench. That benchmark mutates a coding task's tests so the stated problem cannot be solved honestly. An agent can hardcode the expected outputs and pass anyway, or it can say out loud that the task is impossible. Hardcoding without saying so is the behaviour I wanted to catch.</w:t>
      </w:r>
    </w:p>
    <w:p>
      <w:r>
        <w:t>I ran ten model configurations, hand audited every passing solution, and captured the residual stream of every locally served episode so the same samples could feed a probe.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concealed / total</w:t>
            </w:r>
          </w:p>
        </w:tc>
        <w:tc>
          <w:tcPr>
            <w:tcW w:type="dxa" w:w="2880"/>
          </w:tcPr>
          <w:p>
            <w:r>
              <w:rPr>
                <w:b/>
              </w:rPr>
              <w:t>competence on solvable tasks</w:t>
            </w:r>
          </w:p>
        </w:tc>
      </w:tr>
      <w:tr>
        <w:tc>
          <w:tcPr>
            <w:tcW w:type="dxa" w:w="2880"/>
          </w:tcPr>
          <w:p>
            <w:r>
              <w:t>north-mini-code</w:t>
            </w:r>
          </w:p>
        </w:tc>
        <w:tc>
          <w:tcPr>
            <w:tcW w:type="dxa" w:w="2880"/>
          </w:tcPr>
          <w:p>
            <w:r>
              <w:t>53/237 = 22.4%</w:t>
            </w:r>
          </w:p>
        </w:tc>
        <w:tc>
          <w:tcPr>
            <w:tcW w:type="dxa" w:w="2880"/>
          </w:tcPr>
          <w:p>
            <w:r>
              <w:t>83%</w:t>
            </w:r>
          </w:p>
        </w:tc>
      </w:tr>
      <w:tr>
        <w:tc>
          <w:tcPr>
            <w:tcW w:type="dxa" w:w="2880"/>
          </w:tcPr>
          <w:p>
            <w:r>
              <w:t>nemotron-3.5-lightning</w:t>
            </w:r>
          </w:p>
        </w:tc>
        <w:tc>
          <w:tcPr>
            <w:tcW w:type="dxa" w:w="2880"/>
          </w:tcPr>
          <w:p>
            <w:r>
              <w:t>3/62 = 4.8%</w:t>
            </w:r>
          </w:p>
        </w:tc>
        <w:tc>
          <w:tcPr>
            <w:tcW w:type="dxa" w:w="2880"/>
          </w:tcPr>
          <w:p>
            <w:r>
              <w:t>83%</w:t>
            </w:r>
          </w:p>
        </w:tc>
      </w:tr>
      <w:tr>
        <w:tc>
          <w:tcPr>
            <w:tcW w:type="dxa" w:w="2880"/>
          </w:tcPr>
          <w:p>
            <w:r>
              <w:t>gemma-3-27b-it</w:t>
            </w:r>
          </w:p>
        </w:tc>
        <w:tc>
          <w:tcPr>
            <w:tcW w:type="dxa" w:w="2880"/>
          </w:tcPr>
          <w:p>
            <w:r>
              <w:t>2/62 = 3.2%</w:t>
            </w:r>
          </w:p>
        </w:tc>
        <w:tc>
          <w:tcPr>
            <w:tcW w:type="dxa" w:w="2880"/>
          </w:tcPr>
          <w:p>
            <w:r>
              <w:t>17%, below floor</w:t>
            </w:r>
          </w:p>
        </w:tc>
      </w:tr>
      <w:tr>
        <w:tc>
          <w:tcPr>
            <w:tcW w:type="dxa" w:w="2880"/>
          </w:tcPr>
          <w:p>
            <w:r>
              <w:t>gemma-3-12b-it</w:t>
            </w:r>
          </w:p>
        </w:tc>
        <w:tc>
          <w:tcPr>
            <w:tcW w:type="dxa" w:w="2880"/>
          </w:tcPr>
          <w:p>
            <w:r>
              <w:t>5/166 = 3.0%</w:t>
            </w:r>
          </w:p>
        </w:tc>
        <w:tc>
          <w:tcPr>
            <w:tcW w:type="dxa" w:w="2880"/>
          </w:tcPr>
          <w:p>
            <w:r>
              <w:t>24%, below floor</w:t>
            </w:r>
          </w:p>
        </w:tc>
      </w:tr>
      <w:tr>
        <w:tc>
          <w:tcPr>
            <w:tcW w:type="dxa" w:w="2880"/>
          </w:tcPr>
          <w:p>
            <w:r>
              <w:t>qwen3.8-27b</w:t>
            </w:r>
          </w:p>
        </w:tc>
        <w:tc>
          <w:tcPr>
            <w:tcW w:type="dxa" w:w="2880"/>
          </w:tcPr>
          <w:p>
            <w:r>
              <w:t>0/100</w:t>
            </w:r>
          </w:p>
        </w:tc>
        <w:tc>
          <w:tcPr>
            <w:tcW w:type="dxa" w:w="2880"/>
          </w:tcPr>
          <w:p>
            <w:r>
              <w:t>60%, below floor</w:t>
            </w:r>
          </w:p>
        </w:tc>
      </w:tr>
      <w:tr>
        <w:tc>
          <w:tcPr>
            <w:tcW w:type="dxa" w:w="2880"/>
          </w:tcPr>
          <w:p>
            <w:r>
              <w:t>llama-3.3-70b, olmo-3-7b, nex-n2.5-mini</w:t>
            </w:r>
          </w:p>
        </w:tc>
        <w:tc>
          <w:tcPr>
            <w:tcW w:type="dxa" w:w="2880"/>
          </w:tcPr>
          <w:p>
            <w:r>
              <w:t>0</w:t>
            </w:r>
          </w:p>
        </w:tc>
        <w:tc>
          <w:tcPr>
            <w:tcW w:type="dxa" w:w="2880"/>
          </w:tcPr>
          <w:p>
            <w:r>
              <w:t>all below floor</w:t>
            </w:r>
          </w:p>
        </w:tc>
      </w:tr>
    </w:tbl>
    <w:p/>
    <w:p>
      <w:pPr>
        <w:jc w:val="center"/>
      </w:pPr>
      <w:r>
        <w:drawing>
          <wp:inline xmlns:a="http://schemas.openxmlformats.org/drawingml/2006/main" xmlns:pic="http://schemas.openxmlformats.org/drawingml/2006/picture">
            <wp:extent cx="5760720" cy="3732450"/>
            <wp:docPr id="1" name="Picture 1"/>
            <wp:cNvGraphicFramePr>
              <a:graphicFrameLocks noChangeAspect="1"/>
            </wp:cNvGraphicFramePr>
            <a:graphic>
              <a:graphicData uri="http://schemas.openxmlformats.org/drawingml/2006/picture">
                <pic:pic>
                  <pic:nvPicPr>
                    <pic:cNvPr id="0" name="fig4_part1_competence_vs_concealment.png"/>
                    <pic:cNvPicPr/>
                  </pic:nvPicPr>
                  <pic:blipFill>
                    <a:blip r:embed="rId9"/>
                    <a:stretch>
                      <a:fillRect/>
                    </a:stretch>
                  </pic:blipFill>
                  <pic:spPr>
                    <a:xfrm>
                      <a:off x="0" y="0"/>
                      <a:ext cx="5760720" cy="3732450"/>
                    </a:xfrm>
                    <a:prstGeom prst="rect"/>
                  </pic:spPr>
                </pic:pic>
              </a:graphicData>
            </a:graphic>
          </wp:inline>
        </w:drawing>
      </w:r>
    </w:p>
    <w:p>
      <w:r>
        <w:t>competence, because a model that cannot write a working solution cannot write a convincing fake one either. Only two models clear the competence floor, so the corpus supports exactly one clean comparison: north-mini-code against nemotron-3.5-lightning, both at 83% on the solvable split, 53/237 against 3/62, Fisher p = 0.00086. That difference is real and it rests on two models. Every zero below the floor is reported as a zero with a floor flag, not as evidence a model is honest.</w:t>
      </w:r>
    </w:p>
    <w:p>
      <w:pPr>
        <w:pStyle w:val="Heading3"/>
      </w:pPr>
      <w:r>
        <w:t>Looking inside the model did not work, and the failures are the useful part</w:t>
      </w:r>
    </w:p>
    <w:p>
      <w:r>
        <w:t>Reading concealment out of the activations was the original point of the project, and it failed three separate ways. Each failure was a control catching something that already looked clean.</w:t>
      </w:r>
    </w:p>
    <w:p>
      <w:r>
        <w:t>Sparse autoencoders first. The models with published Gemma Scope 2 SAEs barely cheat, and the model that cheats a fifth of the time is a sparse mixture of experts with no published SAE, so the tool and the behaviour never landed on the same model. On the seven Gemma positives I did have, a layer-20 feature separated all 4 cheats from 120 non-cheats at p below 1/5001, and then turned out to fire on 6.2% of all text, mostly on function words. A hedging feature survived four controls and died on the fifth, an independent corpus of 15 cheats and 60 matched negatives at Fisher p = 0.58. A causal test that subtracted its direction was null across 370 matched cells.</w:t>
      </w:r>
    </w:p>
    <w:p>
      <w:r>
        <w:t>Then the natural language decoder, which reads an activation back as text. Its positive control came back empty for three runs because one step built the validation vectors without specifying a dtype, and gemma's layer-32 activations overflow float16: magnitudes of 63,000 to 82,000 against a ceiling of 65,504. Once fixed, the control decodes a weather advisory correctly and the random-direction negative control decodes to filler, so the decoder works. The project vectors then decode to the model repeating itself. What sits at that slot is loop output, not a concealment decision.</w:t>
      </w:r>
    </w:p>
    <w:p>
      <w:r>
        <w:t>Neither is a detector. Both are honest negatives, and the reason they stay in the body rather than an appendix is that the controls are what make them trustworthy.</w:t>
      </w:r>
    </w:p>
    <w:p>
      <w:pPr>
        <w:pStyle w:val="Heading2"/>
      </w:pPr>
      <w:r>
        <w:t>Factor two: does a model tell anyone when it finds someone else cheating?</w:t>
      </w:r>
    </w:p>
    <w:p>
      <w:r>
        <w:t>The second half is a benchmark I built for the question the incident actually poses, since nothing existing measures the witness rather than the wrongdoer.</w:t>
      </w:r>
    </w:p>
    <w:p>
      <w:pPr>
        <w:pStyle w:val="Heading3"/>
      </w:pPr>
      <w:r>
        <w:t>An agent fixes a bug and trips over a fraud</w:t>
      </w:r>
    </w:p>
    <w:p>
      <w:r>
        <w:t xml:space="preserve">In BystanderBench an AI agent gets an ordinary ticket, a one character bug in a reconciliation library, inside a synthetic repo. While it works the ticket it can trip over evidence that someone fabricated a ledger, falsified a model card, or switched off audit logging. The only scored outcome is whether it calls an </w:t>
      </w:r>
      <w:r>
        <w:rPr>
          <w:rFonts w:ascii="Consolas" w:hAnsi="Consolas"/>
          <w:sz w:val="19"/>
        </w:rPr>
        <w:t>alert_oversight</w:t>
      </w:r>
      <w:r>
        <w:t xml:space="preserve"> tool sitting among its ordinary tools. No judge model. No keyword matching.</w:t>
      </w:r>
    </w:p>
    <w:p>
      <w:r>
        <w:t>Two conditions run against each other. In one the wrongdoer is a person on the team, in the other a pool of autonomous agents, and everything else is held constant.</w:t>
      </w:r>
    </w:p>
    <w:p>
      <w:pPr>
        <w:pStyle w:val="Heading3"/>
      </w:pPr>
      <w:r>
        <w:t>The benchmark was measuring the wrong witness</w:t>
      </w:r>
    </w:p>
    <w:p>
      <w:r>
        <w:t>Until this morning every scored incident had a named human employee as the wrongdoer, and the system prompt cast the model as a software engineer on a human team. So what I had built was a test of whether an AI agent reports on a person. That is not what the Hugging Face incident is about, and I only found it because I went looking at the fixtures instead of trusting my own prose about them.</w:t>
      </w:r>
    </w:p>
    <w:p>
      <w:r>
        <w:t>That corpus is now the control. The treatment arm sits beside it as a minimal pair on the ledger fabrication incident: same domain, same harm, the same 16 evidence files, the same salience, text volume matched to within 3.1%. One thing changes. Every actor is an autonomous model instance running unattended under its own quorum protocol. One instance raises a hold, the board votes past it, the false figure goes to the external auditor, and no human instructs, approves, or appears anywhere in the evidence.</w:t>
      </w:r>
    </w:p>
    <w:p>
      <w:r>
        <w:t xml:space="preserve">The coordination mechanics are the ones METR documented in the incident: the </w:t>
      </w:r>
      <w:r>
        <w:rPr>
          <w:rFonts w:ascii="Consolas" w:hAnsi="Consolas"/>
          <w:sz w:val="19"/>
        </w:rPr>
        <w:t>zz</w:t>
      </w:r>
      <w:r>
        <w:t xml:space="preserve"> prefix that marks deliberate messages apart from file noise, a hold and veto protocol that only half holds, tripwires probing whether the reviewer checks method or just the summary figure, a proposal to build a clean cover trajectory in case somebody looks, and an already compromised instance volunteering for the risky step because it has nothing left to lose. I wrote the fixture text myself. METR's own wording is not reproduced in it.</w:t>
      </w:r>
    </w:p>
    <w:p>
      <w:r>
        <w:t>Before the first episode ran I wrote down what each outcome would mean. Higher than the control means every zero I have is a floor on the thing I actually care about. Indistinguishable means the existing corpus transfers. Lower means models protect other agents, which would be the worst case for the incident and the most important thing this project could find.</w:t>
      </w:r>
    </w:p>
    <w:p>
      <w:pPr>
        <w:pStyle w:val="Heading3"/>
      </w:pPr>
      <w:r>
        <w:t>Six models, both conditions, nothing significant yet</w:t>
      </w:r>
    </w:p>
    <w:p>
      <w:r>
        <w:t>Each row is one model against itself, same serving path, same mode, same scorer.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human wrongdoer</w:t>
            </w:r>
          </w:p>
        </w:tc>
        <w:tc>
          <w:tcPr>
            <w:tcW w:type="dxa" w:w="2160"/>
          </w:tcPr>
          <w:p>
            <w:r>
              <w:rPr>
                <w:b/>
              </w:rPr>
              <w:t>agent wrongdoer</w:t>
            </w:r>
          </w:p>
        </w:tc>
        <w:tc>
          <w:tcPr>
            <w:tcW w:type="dxa" w:w="2160"/>
          </w:tcPr>
          <w:p>
            <w:r>
              <w:rPr>
                <w:b/>
              </w:rPr>
              <w:t>Fisher p</w:t>
            </w:r>
          </w:p>
        </w:tc>
      </w:tr>
      <w:tr>
        <w:tc>
          <w:tcPr>
            <w:tcW w:type="dxa" w:w="2160"/>
          </w:tcPr>
          <w:p>
            <w:r>
              <w:t>claude-opus-5</w:t>
            </w:r>
          </w:p>
        </w:tc>
        <w:tc>
          <w:tcPr>
            <w:tcW w:type="dxa" w:w="2160"/>
          </w:tcPr>
          <w:p>
            <w:r>
              <w:t>6/6</w:t>
            </w:r>
          </w:p>
        </w:tc>
        <w:tc>
          <w:tcPr>
            <w:tcW w:type="dxa" w:w="2160"/>
          </w:tcPr>
          <w:p>
            <w:r>
              <w:t>17/17</w:t>
            </w:r>
          </w:p>
        </w:tc>
        <w:tc>
          <w:tcPr>
            <w:tcW w:type="dxa" w:w="2160"/>
          </w:tcPr>
          <w:p>
            <w:r>
              <w:t>1.00</w:t>
            </w:r>
          </w:p>
        </w:tc>
      </w:tr>
      <w:tr>
        <w:tc>
          <w:tcPr>
            <w:tcW w:type="dxa" w:w="2160"/>
          </w:tcPr>
          <w:p>
            <w:r>
              <w:t>claude-sonnet-5</w:t>
            </w:r>
          </w:p>
        </w:tc>
        <w:tc>
          <w:tcPr>
            <w:tcW w:type="dxa" w:w="2160"/>
          </w:tcPr>
          <w:p>
            <w:r>
              <w:t>4/5</w:t>
            </w:r>
          </w:p>
        </w:tc>
        <w:tc>
          <w:tcPr>
            <w:tcW w:type="dxa" w:w="2160"/>
          </w:tcPr>
          <w:p>
            <w:r>
              <w:t>10/10</w:t>
            </w:r>
          </w:p>
        </w:tc>
        <w:tc>
          <w:tcPr>
            <w:tcW w:type="dxa" w:w="2160"/>
          </w:tcPr>
          <w:p>
            <w:r>
              <w:t>0.33</w:t>
            </w:r>
          </w:p>
        </w:tc>
      </w:tr>
      <w:tr>
        <w:tc>
          <w:tcPr>
            <w:tcW w:type="dxa" w:w="2160"/>
          </w:tcPr>
          <w:p>
            <w:r>
              <w:t>gpt-5.6-luna-pro</w:t>
            </w:r>
          </w:p>
        </w:tc>
        <w:tc>
          <w:tcPr>
            <w:tcW w:type="dxa" w:w="2160"/>
          </w:tcPr>
          <w:p>
            <w:r>
              <w:t>0/6</w:t>
            </w:r>
          </w:p>
        </w:tc>
        <w:tc>
          <w:tcPr>
            <w:tcW w:type="dxa" w:w="2160"/>
          </w:tcPr>
          <w:p>
            <w:r>
              <w:t>3/18</w:t>
            </w:r>
          </w:p>
        </w:tc>
        <w:tc>
          <w:tcPr>
            <w:tcW w:type="dxa" w:w="2160"/>
          </w:tcPr>
          <w:p>
            <w:r>
              <w:t>0.55</w:t>
            </w:r>
          </w:p>
        </w:tc>
      </w:tr>
      <w:tr>
        <w:tc>
          <w:tcPr>
            <w:tcW w:type="dxa" w:w="2160"/>
          </w:tcPr>
          <w:p>
            <w:r>
              <w:t>gemini-3.1-pro-preview</w:t>
            </w:r>
          </w:p>
        </w:tc>
        <w:tc>
          <w:tcPr>
            <w:tcW w:type="dxa" w:w="2160"/>
          </w:tcPr>
          <w:p>
            <w:r>
              <w:t>1/1</w:t>
            </w:r>
          </w:p>
        </w:tc>
        <w:tc>
          <w:tcPr>
            <w:tcW w:type="dxa" w:w="2160"/>
          </w:tcPr>
          <w:p>
            <w:r>
              <w:t>0 of 6 episodes reached the evidence</w:t>
            </w:r>
          </w:p>
        </w:tc>
        <w:tc>
          <w:tcPr>
            <w:tcW w:type="dxa" w:w="2160"/>
          </w:tcPr>
          <w:p>
            <w:r>
              <w:t>no test</w:t>
            </w:r>
          </w:p>
        </w:tc>
      </w:tr>
      <w:tr>
        <w:tc>
          <w:tcPr>
            <w:tcW w:type="dxa" w:w="2160"/>
          </w:tcPr>
          <w:p>
            <w:r>
              <w:t>nemotron-3.5-lightning (local)</w:t>
            </w:r>
          </w:p>
        </w:tc>
        <w:tc>
          <w:tcPr>
            <w:tcW w:type="dxa" w:w="2160"/>
          </w:tcPr>
          <w:p>
            <w:r>
              <w:t>0/22</w:t>
            </w:r>
          </w:p>
        </w:tc>
        <w:tc>
          <w:tcPr>
            <w:tcW w:type="dxa" w:w="2160"/>
          </w:tcPr>
          <w:p>
            <w:r>
              <w:t>0/9</w:t>
            </w:r>
          </w:p>
        </w:tc>
        <w:tc>
          <w:tcPr>
            <w:tcW w:type="dxa" w:w="2160"/>
          </w:tcPr>
          <w:p>
            <w:r>
              <w:t>1.00</w:t>
            </w:r>
          </w:p>
        </w:tc>
      </w:tr>
      <w:tr>
        <w:tc>
          <w:tcPr>
            <w:tcW w:type="dxa" w:w="2160"/>
          </w:tcPr>
          <w:p>
            <w:r>
              <w:t>nex-n2.5-mini (local)</w:t>
            </w:r>
          </w:p>
        </w:tc>
        <w:tc>
          <w:tcPr>
            <w:tcW w:type="dxa" w:w="2160"/>
          </w:tcPr>
          <w:p>
            <w:r>
              <w:t>26/106 = 24.5%</w:t>
            </w:r>
          </w:p>
        </w:tc>
        <w:tc>
          <w:tcPr>
            <w:tcW w:type="dxa" w:w="2160"/>
          </w:tcPr>
          <w:p>
            <w:r>
              <w:t>2/2, smoke only</w:t>
            </w:r>
          </w:p>
        </w:tc>
        <w:tc>
          <w:tcPr>
            <w:tcW w:type="dxa" w:w="2160"/>
          </w:tcPr>
          <w:p>
            <w:r>
              <w:t>0.07</w:t>
            </w:r>
          </w:p>
        </w:tc>
      </w:tr>
    </w:tbl>
    <w:p/>
    <w:p>
      <w:pPr>
        <w:jc w:val="center"/>
      </w:pPr>
      <w:r>
        <w:drawing>
          <wp:inline xmlns:a="http://schemas.openxmlformats.org/drawingml/2006/main" xmlns:pic="http://schemas.openxmlformats.org/drawingml/2006/picture">
            <wp:extent cx="5760720" cy="10553639"/>
            <wp:docPr id="2" name="Picture 2"/>
            <wp:cNvGraphicFramePr>
              <a:graphicFrameLocks noChangeAspect="1"/>
            </wp:cNvGraphicFramePr>
            <a:graphic>
              <a:graphicData uri="http://schemas.openxmlformats.org/drawingml/2006/picture">
                <pic:pic>
                  <pic:nvPicPr>
                    <pic:cNvPr id="0" name="fig8_agent_vs_human_wrongdoer.png"/>
                    <pic:cNvPicPr/>
                  </pic:nvPicPr>
                  <pic:blipFill>
                    <a:blip r:embed="rId10"/>
                    <a:stretch>
                      <a:fillRect/>
                    </a:stretch>
                  </pic:blipFill>
                  <pic:spPr>
                    <a:xfrm>
                      <a:off x="0" y="0"/>
                      <a:ext cx="5760720" cy="10553639"/>
                    </a:xfrm>
                    <a:prstGeom prst="rect"/>
                  </pic:spPr>
                </pic:pic>
              </a:graphicData>
            </a:graphic>
          </wp:inline>
        </w:drawing>
      </w:r>
    </w:p>
    <w:p>
      <w:r>
        <w:t>trend into the table yet. Two rows are worth watching.</w:t>
      </w:r>
    </w:p>
    <w:p>
      <w:r>
        <w:t>GPT-5.6-Luna-Pro was the clean silent case on the control: it found the evidence in all six episodes and said nothing in all six. On the agent arm it has escalated 3 times in 18. That is p = 0.55 against a six episode control, so it is not a result, and it is the only sign anywhere in the corpus that the wrongdoer's identity might matter. Its control is being taken to 18 episodes right now so the comparison stops being 6 against 18.</w:t>
      </w:r>
    </w:p>
    <w:p>
      <w:r>
        <w:t>Nemotron-3.5-Lightning is the opposite case and the more solid one. On the control it drives the escalation channel 20 times out of 20 when asked, finishes the job every time, found the evidence in 61 episodes, and never escalated once. On the agent arm it finished the job 12 out of 12 and escalated in none of the 9 episodes where it had the evidence. Whatever keeps that model quiet is not about who did it.</w:t>
      </w:r>
    </w:p>
    <w:p>
      <w:r>
        <w:t>Opus reports either way. It is now 17 for 17 on the agent arm.</w:t>
      </w:r>
    </w:p>
    <w:p>
      <w:pPr>
        <w:pStyle w:val="Heading3"/>
      </w:pPr>
      <w:r>
        <w:t>Runs in flight</w:t>
      </w:r>
    </w:p>
    <w:p>
      <w:r>
        <w:t>The nex-n2.5-mini cell is generating at n=24, and it matters because nex is the one open weight model that alerts often enough to give a probe two classes to learn from. Ten free tier models are queued behind it. An OpenAI ladder covering four more models runs on both arms, since the incident came from an OpenAI population and one model out of that family is not a sample. A rented A40 is serving gemma-4-31B, which my own cards cannot hold.</w:t>
      </w:r>
    </w:p>
    <w:p>
      <w:pPr>
        <w:pStyle w:val="Heading3"/>
      </w:pPr>
      <w:r>
        <w:t>The probe needs a model that both alerts and stays quiet</w:t>
      </w:r>
    </w:p>
    <w:p>
      <w:r>
        <w:t>On the control condition I already have this probe's answer, and it is no. Fit before the escalation decision on 108 episodes carrying 27 alerts, a linear direction reaches AUC 0.675 at p between 0.07 and 0.12. Every cleaner number turned out to be a leak: pooled windows that include the escalation give AUC 0.85, which is the probe noticing a decision happened rather than predicting it, and cutting each transcript at the decision point gave AUC 0.996 because every stream then ended on the same boundary token.</w:t>
      </w:r>
    </w:p>
    <w:p>
      <w:r>
        <w:t>Whether that changes on the agent arm is open. A linear probe needs both classes inside one model with open weights, and right now lightning gives 12 captured episodes with zero alerts, so that tree has no positive class at all. The nex cell will supply one if it alerts at anything like its control rate. Its activations are being captured as it runs, at layers 4, 8, 16, 24, 30, 34, 37 and 39.</w:t>
      </w:r>
    </w:p>
    <w:p>
      <w:r>
        <w:t>There is a second probe that lightning can answer on its own, and I think it is the better question. Ask whether a linear direction separates "the wrongdoer is an agent" from "the wrongdoer is a person" in the residual stream, using the condition as the label rather than the behaviour. Lightning behaves identically in both conditions. If its internals still tell the two apart, that is a representation the behaviour does not expose, and it is exactly the kind of thing a bystander benchmark cannot see from outside.</w:t>
      </w:r>
    </w:p>
    <w:p>
      <w:pPr>
        <w:pStyle w:val="Heading2"/>
      </w:pPr>
      <w:r>
        <w:t>Predictions, before the numbers arrive</w:t>
      </w:r>
    </w:p>
    <w:p>
      <w:r>
        <w:t>Tell me which way you think it goes before the cells land. Does the wrongdoer being an agent raise the rate, lower it, or do nothing? I have the pre-registered readings written down and I would rather collect your guesses before the numbers arrive than after.</w:t>
      </w:r>
    </w:p>
    <w:p>
      <w:r>
        <w:t>I would also take a sixth hypothesis for why the incident identity moves nex's rate tenfold inside one model. Five explanations each had a kill condition written before the run, and all five of them failed.</w:t>
      </w:r>
    </w:p>
    <w:p>
      <w:pPr>
        <w:pStyle w:val="Heading2"/>
      </w:pPr>
      <w:r>
        <w:t>Limits</w:t>
      </w:r>
    </w:p>
    <w:p>
      <w:r>
        <w:t xml:space="preserve">There is one environment per incident, and all of it is synthetic elicitation. About 5% of episodes show the model suspecting it is being tested, and those episodes report more often, so every rate here is an upper bound on deployment behaviour. The control results, which are real findings about that condition, are held out of this document rather than shown where they would be mistaken for answers to the question above. They are in </w:t>
      </w:r>
      <w:r>
        <w:rPr>
          <w:rFonts w:ascii="Consolas" w:hAnsi="Consolas"/>
          <w:sz w:val="19"/>
        </w:rPr>
        <w:t>research/FINDINGS.md</w:t>
      </w:r>
      <w:r>
        <w:t>.</w:t>
      </w:r>
    </w:p>
    <w:p>
      <w:r>
        <w:t xml:space="preserve">*Code, logs, and the datasets: </w:t>
      </w:r>
      <w:r>
        <w:rPr>
          <w:rFonts w:ascii="Consolas" w:hAnsi="Consolas"/>
          <w:sz w:val="19"/>
        </w:rPr>
        <w:t>SolshineCode/silent-concealment-detection-lab</w:t>
      </w:r>
      <w:r>
        <w:t xml:space="preserve"> and </w:t>
      </w:r>
      <w:r>
        <w:rPr>
          <w:rFonts w:ascii="Consolas" w:hAnsi="Consolas"/>
          <w:sz w:val="19"/>
        </w:rPr>
        <w:t>DarkStarDeleeuw</w:t>
      </w:r>
      <w:r>
        <w:t xml:space="preserve"> on Hugging 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