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sz w:val="20"/>
        </w:rPr>
      </w:r>
    </w:p>
    <w:p>
      <w:pPr>
        <w:jc w:val="center"/>
      </w:pPr>
      <w:r>
        <w:rPr>
          <w:b/>
          <w:i w:val="0"/>
          <w:sz w:val="24"/>
        </w:rPr>
        <w:t>Cost-Sensitive Predictive Modeling for Healthcare Provider Fraud Detection</w:t>
      </w:r>
    </w:p>
    <w:p>
      <w:pPr>
        <w:jc w:val="center"/>
      </w:pPr>
      <w:r>
        <w:rPr>
          <w:b w:val="0"/>
          <w:i/>
          <w:sz w:val="20"/>
        </w:rPr>
        <w:t>Adapting Shi et al. (2023) to the Kaggle Provider Fraud Dataset</w:t>
      </w:r>
    </w:p>
    <w:p>
      <w:pPr>
        <w:jc w:val="center"/>
      </w:pPr>
      <w:r>
        <w:rPr>
          <w:b w:val="0"/>
          <w:i w:val="0"/>
          <w:sz w:val="20"/>
        </w:rPr>
        <w:t>Mortadha Ghnimi · Firas Frouja · Mohamed Iheb Soltana · Ghofrane Bousbih</w:t>
      </w:r>
    </w:p>
    <w:p>
      <w:pPr>
        <w:jc w:val="center"/>
      </w:pPr>
      <w:r>
        <w:rPr>
          <w:b w:val="0"/>
          <w:i w:val="0"/>
          <w:sz w:val="20"/>
        </w:rPr>
        <w:t>Data Mining — April 2026</w:t>
      </w:r>
    </w:p>
    <w:p>
      <w:pPr>
        <w:jc w:val="center"/>
      </w:pPr>
      <w:r>
        <w:rPr>
          <w:b w:val="0"/>
          <w:i/>
          <w:sz w:val="20"/>
        </w:rPr>
        <w:t>(Times New Roman 10 pt, 1.08 line spacing, 2 cm margins; main text targets roughly nine to ten pages in Word’s Print Layout.)</w:t>
      </w:r>
    </w:p>
    <w:p>
      <w:pPr>
        <w:jc w:val="center"/>
      </w:pPr>
      <w:r>
        <w:rPr>
          <w:sz w:val="18"/>
        </w:rPr>
        <w:t xml:space="preserve">Repository: </w:t>
      </w:r>
      <w:r>
        <w:rPr>
          <w:color w:val="0000B4"/>
          <w:sz w:val="18"/>
          <w:u w:val="single"/>
        </w:rPr>
        <w:t>https://github.com/YOUR-ORG/fraud-detection</w:t>
      </w:r>
    </w:p>
    <w:p>
      <w:pPr>
        <w:pStyle w:val="Heading1"/>
      </w:pPr>
      <w:r>
        <w:t>Abstract</w:t>
      </w:r>
    </w:p>
    <w:p>
      <w:r>
        <w:rPr>
          <w:b w:val="0"/>
          <w:i w:val="0"/>
          <w:sz w:val="20"/>
        </w:rPr>
        <w:t>Healthcare fraud strains public programs and crowds out legitimate care. Shi et al. (IEEE TKDE 2023) propose cost-sensitive learning with functional PCA on multi-year Medicare Part D data. We adapt that framework to the public Kaggle Healthcare Provider Fraud dataset: inpatient and outpatient claims plus beneficiary records (single calendar year). After fusing tables at the provider level, we construct 74 features—claim and beneficiary aggregates, 12-month reimbursement and count trajectories with PCA scores as an FPCA surrogate, and shape statistics of claim amounts. Four classifiers (logistic regression, random forest, gradient boosting, neural network) are trained under random undersampling (10–50% positive) on repeated 50:50 stratified splits. Fraud decisions follow the paper’s Bayes rule with fixed investigation cost I=$4,000, multiplier K=20, and reimbursement-based “drug cost,” with probability calibration for undersampling. The best mean AUC is 0.946; cost-sensitive rules yield about −99.8% cost saving versus no screening, while F1-optimized thresholds (non-cost-sensitive) remain far costlier. Tree models are most stable; trajectory/PCA features rank high in importance.</w:t>
      </w:r>
    </w:p>
    <w:p>
      <w:pPr>
        <w:pStyle w:val="Heading1"/>
      </w:pPr>
      <w:r>
        <w:t>1. Introduction &amp; Problem Statement</w:t>
      </w:r>
    </w:p>
    <w:p>
      <w:r>
        <w:rPr>
          <w:b w:val="0"/>
          <w:i w:val="0"/>
          <w:sz w:val="20"/>
        </w:rPr>
        <w:t>Medicare and related programs spend hundreds of billions annually; fraud and abuse divert funds from beneficiaries and inflate premiums. Investigators cannot review every claim, so machine learning prioritizes cases—but standard accuracy metrics misalign with operations: missing fraud often costs more than investigating a false alarm. Shi et al. (2023) formalize this via cost-sensitive classification on extremely imbalanced Part D physician–drug panels, using multi-year trajectories and FPCA-derived scores, plus a decision rule comparing investigation cost to expected fraud loss.</w:t>
      </w:r>
    </w:p>
    <w:p>
      <w:r>
        <w:rPr>
          <w:b w:val="0"/>
          <w:i w:val="0"/>
          <w:sz w:val="20"/>
        </w:rPr>
        <w:t>We work with the Kaggle “Healthcare Provider Fraud Detection” release: de-identified 2009 claims, linked beneficiaries, and provider-level fraud labels for model building. The positive rate is about 9.35% (506 of 5,410 train providers)—far higher than Shi et al.’s 0.025%—so we still use undersampling but choose achievable positive fractions (10–50%). Our goals are to (i) implement transparent data fusion and feature engineering faithful to the paper’s intent; (ii) implement the same cost model and calibration; (iii) compare four learners under identical protocols; and (iv) document limitations when yearly longitudinal drug data are unavailable.</w:t>
      </w:r>
    </w:p>
    <w:p>
      <w:pPr>
        <w:pStyle w:val="Heading1"/>
      </w:pPr>
      <w:r>
        <w:t>2. Related Work</w:t>
      </w:r>
    </w:p>
    <w:p>
      <w:r>
        <w:rPr>
          <w:b w:val="0"/>
          <w:i w:val="0"/>
          <w:sz w:val="20"/>
        </w:rPr>
        <w:t>Prior CMS studies emphasize data fusion: Herland et al. combine Part B, D, and DMEPOS and find logistic regression competitive; Johnson &amp; Khoshgoftaar explore deep nets with threshold tuning under imbalance. Unsupervised and graph methods exist but supervised models often win on AUC when labels exist. Resampling—especially random undersampling—is common; Hasanin et al. survey strategies on Medicare-style big data.</w:t>
      </w:r>
    </w:p>
    <w:p>
      <w:r>
        <w:rPr>
          <w:b w:val="0"/>
          <w:i w:val="0"/>
          <w:sz w:val="20"/>
        </w:rPr>
        <w:t>Cost-sensitive learning is well studied in payment fraud (Bahnsen et al.) but less so in Medicare until Shi et al., who also introduce FPCA on longitudinal summaries and distributional FPCA on empirical densities of drug-level covariates [2,7]. Our work transfers the cost layer and the spirit of functional features to a different modality (fee-for-service claims) and a public tabular benchmark, which supports reproducibility for coursework while remaining distinct from copying existing Kaggle leaderboard solutions.</w:t>
      </w:r>
    </w:p>
    <w:p>
      <w:pPr>
        <w:pStyle w:val="Heading1"/>
      </w:pPr>
      <w:r>
        <w:t>3. Methodology</w:t>
      </w:r>
    </w:p>
    <w:p>
      <w:pPr>
        <w:pStyle w:val="Heading2"/>
      </w:pPr>
      <w:r>
        <w:t>3.1 Data &amp; fusion</w:t>
      </w:r>
    </w:p>
    <w:p>
      <w:r>
        <w:rPr>
          <w:b w:val="0"/>
          <w:i w:val="0"/>
          <w:sz w:val="20"/>
        </w:rPr>
        <w:t>Training tables comprise 5,410 labeled providers, 138,556 beneficiaries, 40,474 inpatient claims, and 517,737 outpatient claims; held-out test providers (1,353) lack labels in the competition setting—our evaluation uses repeated splits on the labeled training set only. We concatenate inpatient and outpatient rows, mark inpatient stays, parse claim start/end and admission/discharge, and compute durations. Beneficiaries supply demographics, chronic condition indicators (remapped to binary), annual reimbursement fields, and dates of birth/death for age and mortality features.</w:t>
      </w:r>
    </w:p>
    <w:p>
      <w:pPr>
        <w:pStyle w:val="Heading2"/>
      </w:pPr>
      <w:r>
        <w:t>3.2 Features (74 total)</w:t>
      </w:r>
    </w:p>
    <w:p>
      <w:r>
        <w:rPr>
          <w:b w:val="0"/>
          <w:i w:val="0"/>
          <w:sz w:val="20"/>
        </w:rPr>
        <w:t>Provider-level claim aggregates capture scale and diversity: sums and dispersion of reimbursed and deductible amounts; counts of distinct beneficiaries, claims, physicians, diagnosis codes, and procedure codes; inpatient share; and hospital stay statistics where applicable. Beneficiary aggregates summarize the patient mix served by each provider (mean age, death rate, gender mix, coverage months, mean chronic burden, and per-condition means).</w:t>
      </w:r>
    </w:p>
    <w:p>
      <w:r>
        <w:rPr>
          <w:b w:val="0"/>
          <w:i w:val="0"/>
          <w:sz w:val="20"/>
        </w:rPr>
        <w:t>Temporal adaptation: we bucket claims by calendar month (1–12) and build two 12-point series per provider—monthly claim counts and monthly reimbursed dollars. From each series we derive location, scale, range, and an OLS slope on month index. We then apply standardized PCA separately to the count and reimbursement matrices and retain five components each (cumulative variance ≈99% and 89% respectively), treating scores as low-dimensional trajectory summaries in lieu of full FPCA on yearly grids.</w:t>
      </w:r>
    </w:p>
    <w:p>
      <w:r>
        <w:rPr>
          <w:b w:val="0"/>
          <w:i w:val="0"/>
          <w:sz w:val="20"/>
        </w:rPr>
        <w:t>Distributional adaptation: for each provider’s vector of claim-level reimbursement amounts we compute standard deviation, skewness, excess kurtosis, quartiles, IQR, and histogram entropy—capturing heavy tails or concentration without estimating full density PCA.</w:t>
      </w:r>
    </w:p>
    <w:p>
      <w:pPr>
        <w:pStyle w:val="Heading2"/>
      </w:pPr>
      <w:r>
        <w:t>3.3 Sampling, models, costs</w:t>
      </w:r>
    </w:p>
    <w:p>
      <w:r>
        <w:rPr>
          <w:b w:val="0"/>
          <w:i w:val="0"/>
          <w:sz w:val="20"/>
        </w:rPr>
        <w:t>For each of ten random seeds we stratify-split labeled providers 50/50. Only the training side of each split is undersampled to target positive rates 10%, 20%, 30%, 40%, and 50%; the evaluation half always reflects the natural ~9.35% prevalence. Classifiers match Shi et al.: L1 logistic regression (saga), random forest (50 trees, depth 20), gradient boosting (50 trees, learning rate 0.1), and a two-hidden-layer MLP (200 units per layer). Predicted probabilities on the evaluation half are calibrated for prevalence shift when forming CS decisions.</w:t>
      </w:r>
    </w:p>
    <w:p>
      <w:r>
        <w:rPr>
          <w:b w:val="0"/>
          <w:i w:val="0"/>
          <w:sz w:val="20"/>
        </w:rPr>
        <w:t>Cost-sensitive prediction uses the paper’s inequality I &lt; K · Cost_i · P(fraud|data), with Cost_i equal to total reimbursed amount for provider i, I = $4,000, K = 20. The calibrated probability is (p_full/p_RUS) times the model’s output probability, clipped to [0,1]. Total cost sums investigation costs for predicted positives and K·Cost for missed frauds; the baseline C_null is K times fraud providers’ costs if nothing is investigated. The non-cost-sensitive baseline sweeps thresholds to maximize F1 on the evaluation fold—often good for ranking but not for the asymmetric loss structure.</w:t>
      </w:r>
    </w:p>
    <w:p>
      <w:pPr>
        <w:pStyle w:val="Heading1"/>
      </w:pPr>
      <w:r>
        <w:t>4. Experiments &amp; Results</w:t>
      </w:r>
    </w:p>
    <w:p>
      <w:pPr>
        <w:pStyle w:val="Heading2"/>
      </w:pPr>
      <w:r>
        <w:t>4.1 Data &amp; correlations</w:t>
      </w:r>
    </w:p>
    <w:p>
      <w:r>
        <w:rPr>
          <w:b w:val="0"/>
          <w:i w:val="0"/>
          <w:sz w:val="20"/>
        </w:rPr>
        <w:t>The labeled training population is moderately imbalanced (≈1:10). Univariate correlations with the fraud label are strongest for monthly reimbursement trajectory extremes (max, std, range; |r|≈0.60), the leading PCA score of reimbursement trajectories (≈0.58), total reimbursed dollars, and coding diversity (unique procedures). Inpatient claims are larger on average (~$10k mean) than outpatient (~$286 mean), so provider mix drives scale. Missingness is high for optional procedure fields; we rely on aggregates rather than imputing every code column.</w:t>
      </w:r>
    </w:p>
    <w:p>
      <w:pPr>
        <w:spacing w:after="40"/>
        <w:jc w:val="center"/>
      </w:pPr>
      <w:r>
        <w:drawing>
          <wp:inline xmlns:a="http://schemas.openxmlformats.org/drawingml/2006/main" xmlns:pic="http://schemas.openxmlformats.org/drawingml/2006/picture">
            <wp:extent cx="3291840" cy="1447937"/>
            <wp:docPr id="1" name="Picture 1"/>
            <wp:cNvGraphicFramePr>
              <a:graphicFrameLocks noChangeAspect="1"/>
            </wp:cNvGraphicFramePr>
            <a:graphic>
              <a:graphicData uri="http://schemas.openxmlformats.org/drawingml/2006/picture">
                <pic:pic>
                  <pic:nvPicPr>
                    <pic:cNvPr id="0" name="fig1_class_distribution.png"/>
                    <pic:cNvPicPr/>
                  </pic:nvPicPr>
                  <pic:blipFill>
                    <a:blip r:embed="rId9"/>
                    <a:stretch>
                      <a:fillRect/>
                    </a:stretch>
                  </pic:blipFill>
                  <pic:spPr>
                    <a:xfrm>
                      <a:off x="0" y="0"/>
                      <a:ext cx="3291840" cy="1447937"/>
                    </a:xfrm>
                    <a:prstGeom prst="rect"/>
                  </pic:spPr>
                </pic:pic>
              </a:graphicData>
            </a:graphic>
          </wp:inline>
        </w:drawing>
      </w:r>
    </w:p>
    <w:p>
      <w:pPr>
        <w:spacing w:after="120"/>
        <w:jc w:val="center"/>
      </w:pPr>
      <w:r>
        <w:rPr>
          <w:i/>
          <w:sz w:val="18"/>
        </w:rPr>
        <w:t>Fig. 1. Fraud label distribution (train).</w:t>
      </w:r>
    </w:p>
    <w:p>
      <w:pPr>
        <w:spacing w:after="40"/>
        <w:jc w:val="center"/>
      </w:pPr>
      <w:r>
        <w:drawing>
          <wp:inline xmlns:a="http://schemas.openxmlformats.org/drawingml/2006/main" xmlns:pic="http://schemas.openxmlformats.org/drawingml/2006/picture">
            <wp:extent cx="3657600" cy="3322983"/>
            <wp:docPr id="2" name="Picture 2"/>
            <wp:cNvGraphicFramePr>
              <a:graphicFrameLocks noChangeAspect="1"/>
            </wp:cNvGraphicFramePr>
            <a:graphic>
              <a:graphicData uri="http://schemas.openxmlformats.org/drawingml/2006/picture">
                <pic:pic>
                  <pic:nvPicPr>
                    <pic:cNvPr id="0" name="fig3_correlation_heatmap.png"/>
                    <pic:cNvPicPr/>
                  </pic:nvPicPr>
                  <pic:blipFill>
                    <a:blip r:embed="rId10"/>
                    <a:stretch>
                      <a:fillRect/>
                    </a:stretch>
                  </pic:blipFill>
                  <pic:spPr>
                    <a:xfrm>
                      <a:off x="0" y="0"/>
                      <a:ext cx="3657600" cy="3322983"/>
                    </a:xfrm>
                    <a:prstGeom prst="rect"/>
                  </pic:spPr>
                </pic:pic>
              </a:graphicData>
            </a:graphic>
          </wp:inline>
        </w:drawing>
      </w:r>
    </w:p>
    <w:p>
      <w:pPr>
        <w:spacing w:after="120"/>
        <w:jc w:val="center"/>
      </w:pPr>
      <w:r>
        <w:rPr>
          <w:i/>
          <w:sz w:val="18"/>
        </w:rPr>
        <w:t>Fig. 2. Correlation heatmap: strongest features vs. fraud.</w:t>
      </w:r>
    </w:p>
    <w:p>
      <w:pPr>
        <w:spacing w:after="40"/>
        <w:jc w:val="center"/>
      </w:pPr>
      <w:r>
        <w:drawing>
          <wp:inline xmlns:a="http://schemas.openxmlformats.org/drawingml/2006/main" xmlns:pic="http://schemas.openxmlformats.org/drawingml/2006/picture">
            <wp:extent cx="3840480" cy="1631305"/>
            <wp:docPr id="3" name="Picture 3"/>
            <wp:cNvGraphicFramePr>
              <a:graphicFrameLocks noChangeAspect="1"/>
            </wp:cNvGraphicFramePr>
            <a:graphic>
              <a:graphicData uri="http://schemas.openxmlformats.org/drawingml/2006/picture">
                <pic:pic>
                  <pic:nvPicPr>
                    <pic:cNvPr id="0" name="fig4_pca_scatter.png"/>
                    <pic:cNvPicPr/>
                  </pic:nvPicPr>
                  <pic:blipFill>
                    <a:blip r:embed="rId11"/>
                    <a:stretch>
                      <a:fillRect/>
                    </a:stretch>
                  </pic:blipFill>
                  <pic:spPr>
                    <a:xfrm>
                      <a:off x="0" y="0"/>
                      <a:ext cx="3840480" cy="1631305"/>
                    </a:xfrm>
                    <a:prstGeom prst="rect"/>
                  </pic:spPr>
                </pic:pic>
              </a:graphicData>
            </a:graphic>
          </wp:inline>
        </w:drawing>
      </w:r>
    </w:p>
    <w:p>
      <w:pPr>
        <w:spacing w:after="120"/>
        <w:jc w:val="center"/>
      </w:pPr>
      <w:r>
        <w:rPr>
          <w:i/>
          <w:sz w:val="18"/>
        </w:rPr>
        <w:t>Fig. 3. PCA of monthly trajectories (fraud vs. non-fraud).</w:t>
      </w:r>
    </w:p>
    <w:p>
      <w:pPr>
        <w:pStyle w:val="Heading2"/>
      </w:pPr>
      <w:r>
        <w:t>4.2 Cost and savings</w:t>
      </w:r>
    </w:p>
    <w:p>
      <w:r>
        <w:rPr>
          <w:b w:val="0"/>
          <w:i w:val="0"/>
          <w:sz w:val="20"/>
        </w:rPr>
        <w:t>Under the paper’s cost accounting, cost-sensitive totals for LR, RF, and GBM remain on the order of single-digit to tens of millions of dollars on the evaluation half, whereas F1-tuned thresholds produce totals in the hundreds of millions because many true frauds receive low priority. Neural networks are the weakest under CS (tens to hundreds of millions) yet still improve on non-CS cost. Mean cost-saving percentages versus “no investigation” exceed −99% for strong models across RUS settings; non-CS savings are materially smaller (roughly −83% to −92% in our runs). This reproduces the qualitative conclusion of Shi et al.: aligning decisions with dollars dominates optimizing F1 alone.</w:t>
      </w:r>
    </w:p>
    <w:p>
      <w:pPr>
        <w:spacing w:after="40"/>
        <w:jc w:val="center"/>
      </w:pPr>
      <w:r>
        <w:rPr>
          <w:b/>
          <w:sz w:val="18"/>
        </w:rPr>
        <w:t>Table 1. Mean cost saving % (negative is better).</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pPr>
              <w:jc w:val="center"/>
            </w:pPr>
            <w:r>
              <w:rPr>
                <w:b/>
                <w:sz w:val="16"/>
              </w:rPr>
              <w:t>Setting</w:t>
            </w:r>
          </w:p>
        </w:tc>
        <w:tc>
          <w:tcPr>
            <w:tcW w:type="dxa" w:w="1425"/>
          </w:tcPr>
          <w:p>
            <w:pPr>
              <w:jc w:val="center"/>
            </w:pPr>
            <w:r>
              <w:rPr>
                <w:b/>
                <w:sz w:val="16"/>
              </w:rPr>
              <w:t>LR CS</w:t>
            </w:r>
          </w:p>
        </w:tc>
        <w:tc>
          <w:tcPr>
            <w:tcW w:type="dxa" w:w="1425"/>
          </w:tcPr>
          <w:p>
            <w:pPr>
              <w:jc w:val="center"/>
            </w:pPr>
            <w:r>
              <w:rPr>
                <w:b/>
                <w:sz w:val="16"/>
              </w:rPr>
              <w:t>RF CS</w:t>
            </w:r>
          </w:p>
        </w:tc>
        <w:tc>
          <w:tcPr>
            <w:tcW w:type="dxa" w:w="1425"/>
          </w:tcPr>
          <w:p>
            <w:pPr>
              <w:jc w:val="center"/>
            </w:pPr>
            <w:r>
              <w:rPr>
                <w:b/>
                <w:sz w:val="16"/>
              </w:rPr>
              <w:t>GBM CS</w:t>
            </w:r>
          </w:p>
        </w:tc>
        <w:tc>
          <w:tcPr>
            <w:tcW w:type="dxa" w:w="1425"/>
          </w:tcPr>
          <w:p>
            <w:pPr>
              <w:jc w:val="center"/>
            </w:pPr>
            <w:r>
              <w:rPr>
                <w:b/>
                <w:sz w:val="16"/>
              </w:rPr>
              <w:t>NN CS</w:t>
            </w:r>
          </w:p>
        </w:tc>
        <w:tc>
          <w:tcPr>
            <w:tcW w:type="dxa" w:w="1425"/>
          </w:tcPr>
          <w:p>
            <w:pPr>
              <w:jc w:val="center"/>
            </w:pPr>
            <w:r>
              <w:rPr>
                <w:b/>
                <w:sz w:val="16"/>
              </w:rPr>
              <w:t>LR NCS</w:t>
            </w:r>
          </w:p>
        </w:tc>
        <w:tc>
          <w:tcPr>
            <w:tcW w:type="dxa" w:w="1425"/>
          </w:tcPr>
          <w:p>
            <w:pPr>
              <w:jc w:val="center"/>
            </w:pPr>
            <w:r>
              <w:rPr>
                <w:b/>
                <w:sz w:val="16"/>
              </w:rPr>
              <w:t>RF NCS</w:t>
            </w:r>
          </w:p>
        </w:tc>
      </w:tr>
      <w:tr>
        <w:tc>
          <w:tcPr>
            <w:tcW w:type="dxa" w:w="1425"/>
          </w:tcPr>
          <w:p>
            <w:pPr>
              <w:jc w:val="center"/>
            </w:pPr>
            <w:r>
              <w:rPr>
                <w:sz w:val="16"/>
              </w:rPr>
              <w:t>RUS-10</w:t>
            </w:r>
          </w:p>
        </w:tc>
        <w:tc>
          <w:tcPr>
            <w:tcW w:type="dxa" w:w="1425"/>
          </w:tcPr>
          <w:p>
            <w:pPr>
              <w:jc w:val="center"/>
            </w:pPr>
            <w:r>
              <w:rPr>
                <w:sz w:val="16"/>
              </w:rPr>
              <w:t>−99.4%</w:t>
            </w:r>
          </w:p>
        </w:tc>
        <w:tc>
          <w:tcPr>
            <w:tcW w:type="dxa" w:w="1425"/>
          </w:tcPr>
          <w:p>
            <w:pPr>
              <w:jc w:val="center"/>
            </w:pPr>
            <w:r>
              <w:rPr>
                <w:sz w:val="16"/>
              </w:rPr>
              <w:t>−99.7%</w:t>
            </w:r>
          </w:p>
        </w:tc>
        <w:tc>
          <w:tcPr>
            <w:tcW w:type="dxa" w:w="1425"/>
          </w:tcPr>
          <w:p>
            <w:pPr>
              <w:jc w:val="center"/>
            </w:pPr>
            <w:r>
              <w:rPr>
                <w:sz w:val="16"/>
              </w:rPr>
              <w:t>−99.8%</w:t>
            </w:r>
          </w:p>
        </w:tc>
        <w:tc>
          <w:tcPr>
            <w:tcW w:type="dxa" w:w="1425"/>
          </w:tcPr>
          <w:p>
            <w:pPr>
              <w:jc w:val="center"/>
            </w:pPr>
            <w:r>
              <w:rPr>
                <w:sz w:val="16"/>
              </w:rPr>
              <w:t>−91.3%</w:t>
            </w:r>
          </w:p>
        </w:tc>
        <w:tc>
          <w:tcPr>
            <w:tcW w:type="dxa" w:w="1425"/>
          </w:tcPr>
          <w:p>
            <w:pPr>
              <w:jc w:val="center"/>
            </w:pPr>
            <w:r>
              <w:rPr>
                <w:sz w:val="16"/>
              </w:rPr>
              <w:t>−91.0%</w:t>
            </w:r>
          </w:p>
        </w:tc>
        <w:tc>
          <w:tcPr>
            <w:tcW w:type="dxa" w:w="1425"/>
          </w:tcPr>
          <w:p>
            <w:pPr>
              <w:jc w:val="center"/>
            </w:pPr>
            <w:r>
              <w:rPr>
                <w:sz w:val="16"/>
              </w:rPr>
              <w:t>−92.1%</w:t>
            </w:r>
          </w:p>
        </w:tc>
      </w:tr>
      <w:tr>
        <w:tc>
          <w:tcPr>
            <w:tcW w:type="dxa" w:w="1425"/>
          </w:tcPr>
          <w:p>
            <w:pPr>
              <w:jc w:val="center"/>
            </w:pPr>
            <w:r>
              <w:rPr>
                <w:sz w:val="16"/>
              </w:rPr>
              <w:t>RUS-20</w:t>
            </w:r>
          </w:p>
        </w:tc>
        <w:tc>
          <w:tcPr>
            <w:tcW w:type="dxa" w:w="1425"/>
          </w:tcPr>
          <w:p>
            <w:pPr>
              <w:jc w:val="center"/>
            </w:pPr>
            <w:r>
              <w:rPr>
                <w:sz w:val="16"/>
              </w:rPr>
              <w:t>−99.4%</w:t>
            </w:r>
          </w:p>
        </w:tc>
        <w:tc>
          <w:tcPr>
            <w:tcW w:type="dxa" w:w="1425"/>
          </w:tcPr>
          <w:p>
            <w:pPr>
              <w:jc w:val="center"/>
            </w:pPr>
            <w:r>
              <w:rPr>
                <w:sz w:val="16"/>
              </w:rPr>
              <w:t>−99.8%</w:t>
            </w:r>
          </w:p>
        </w:tc>
        <w:tc>
          <w:tcPr>
            <w:tcW w:type="dxa" w:w="1425"/>
          </w:tcPr>
          <w:p>
            <w:pPr>
              <w:jc w:val="center"/>
            </w:pPr>
            <w:r>
              <w:rPr>
                <w:sz w:val="16"/>
              </w:rPr>
              <w:t>−99.8%</w:t>
            </w:r>
          </w:p>
        </w:tc>
        <w:tc>
          <w:tcPr>
            <w:tcW w:type="dxa" w:w="1425"/>
          </w:tcPr>
          <w:p>
            <w:pPr>
              <w:jc w:val="center"/>
            </w:pPr>
            <w:r>
              <w:rPr>
                <w:sz w:val="16"/>
              </w:rPr>
              <w:t>−96.0%</w:t>
            </w:r>
          </w:p>
        </w:tc>
        <w:tc>
          <w:tcPr>
            <w:tcW w:type="dxa" w:w="1425"/>
          </w:tcPr>
          <w:p>
            <w:pPr>
              <w:jc w:val="center"/>
            </w:pPr>
            <w:r>
              <w:rPr>
                <w:sz w:val="16"/>
              </w:rPr>
              <w:t>−91.1%</w:t>
            </w:r>
          </w:p>
        </w:tc>
        <w:tc>
          <w:tcPr>
            <w:tcW w:type="dxa" w:w="1425"/>
          </w:tcPr>
          <w:p>
            <w:pPr>
              <w:jc w:val="center"/>
            </w:pPr>
            <w:r>
              <w:rPr>
                <w:sz w:val="16"/>
              </w:rPr>
              <w:t>−92.7%</w:t>
            </w:r>
          </w:p>
        </w:tc>
      </w:tr>
      <w:tr>
        <w:tc>
          <w:tcPr>
            <w:tcW w:type="dxa" w:w="1425"/>
          </w:tcPr>
          <w:p>
            <w:pPr>
              <w:jc w:val="center"/>
            </w:pPr>
            <w:r>
              <w:rPr>
                <w:sz w:val="16"/>
              </w:rPr>
              <w:t>RUS-30</w:t>
            </w:r>
          </w:p>
        </w:tc>
        <w:tc>
          <w:tcPr>
            <w:tcW w:type="dxa" w:w="1425"/>
          </w:tcPr>
          <w:p>
            <w:pPr>
              <w:jc w:val="center"/>
            </w:pPr>
            <w:r>
              <w:rPr>
                <w:sz w:val="16"/>
              </w:rPr>
              <w:t>−99.8%</w:t>
            </w:r>
          </w:p>
        </w:tc>
        <w:tc>
          <w:tcPr>
            <w:tcW w:type="dxa" w:w="1425"/>
          </w:tcPr>
          <w:p>
            <w:pPr>
              <w:jc w:val="center"/>
            </w:pPr>
            <w:r>
              <w:rPr>
                <w:sz w:val="16"/>
              </w:rPr>
              <w:t>−99.8%</w:t>
            </w:r>
          </w:p>
        </w:tc>
        <w:tc>
          <w:tcPr>
            <w:tcW w:type="dxa" w:w="1425"/>
          </w:tcPr>
          <w:p>
            <w:pPr>
              <w:jc w:val="center"/>
            </w:pPr>
            <w:r>
              <w:rPr>
                <w:sz w:val="16"/>
              </w:rPr>
              <w:t>−99.8%</w:t>
            </w:r>
          </w:p>
        </w:tc>
        <w:tc>
          <w:tcPr>
            <w:tcW w:type="dxa" w:w="1425"/>
          </w:tcPr>
          <w:p>
            <w:pPr>
              <w:jc w:val="center"/>
            </w:pPr>
            <w:r>
              <w:rPr>
                <w:sz w:val="16"/>
              </w:rPr>
              <w:t>−97.6%</w:t>
            </w:r>
          </w:p>
        </w:tc>
        <w:tc>
          <w:tcPr>
            <w:tcW w:type="dxa" w:w="1425"/>
          </w:tcPr>
          <w:p>
            <w:pPr>
              <w:jc w:val="center"/>
            </w:pPr>
            <w:r>
              <w:rPr>
                <w:sz w:val="16"/>
              </w:rPr>
              <w:t>−91.4%</w:t>
            </w:r>
          </w:p>
        </w:tc>
        <w:tc>
          <w:tcPr>
            <w:tcW w:type="dxa" w:w="1425"/>
          </w:tcPr>
          <w:p>
            <w:pPr>
              <w:jc w:val="center"/>
            </w:pPr>
            <w:r>
              <w:rPr>
                <w:sz w:val="16"/>
              </w:rPr>
              <w:t>−92.1%</w:t>
            </w:r>
          </w:p>
        </w:tc>
      </w:tr>
      <w:tr>
        <w:tc>
          <w:tcPr>
            <w:tcW w:type="dxa" w:w="1425"/>
          </w:tcPr>
          <w:p>
            <w:pPr>
              <w:jc w:val="center"/>
            </w:pPr>
            <w:r>
              <w:rPr>
                <w:sz w:val="16"/>
              </w:rPr>
              <w:t>RUS-40</w:t>
            </w:r>
          </w:p>
        </w:tc>
        <w:tc>
          <w:tcPr>
            <w:tcW w:type="dxa" w:w="1425"/>
          </w:tcPr>
          <w:p>
            <w:pPr>
              <w:jc w:val="center"/>
            </w:pPr>
            <w:r>
              <w:rPr>
                <w:sz w:val="16"/>
              </w:rPr>
              <w:t>−99.4%</w:t>
            </w:r>
          </w:p>
        </w:tc>
        <w:tc>
          <w:tcPr>
            <w:tcW w:type="dxa" w:w="1425"/>
          </w:tcPr>
          <w:p>
            <w:pPr>
              <w:jc w:val="center"/>
            </w:pPr>
            <w:r>
              <w:rPr>
                <w:sz w:val="16"/>
              </w:rPr>
              <w:t>−99.8%</w:t>
            </w:r>
          </w:p>
        </w:tc>
        <w:tc>
          <w:tcPr>
            <w:tcW w:type="dxa" w:w="1425"/>
          </w:tcPr>
          <w:p>
            <w:pPr>
              <w:jc w:val="center"/>
            </w:pPr>
            <w:r>
              <w:rPr>
                <w:sz w:val="16"/>
              </w:rPr>
              <w:t>−99.8%</w:t>
            </w:r>
          </w:p>
        </w:tc>
        <w:tc>
          <w:tcPr>
            <w:tcW w:type="dxa" w:w="1425"/>
          </w:tcPr>
          <w:p>
            <w:pPr>
              <w:jc w:val="center"/>
            </w:pPr>
            <w:r>
              <w:rPr>
                <w:sz w:val="16"/>
              </w:rPr>
              <w:t>−98.0%</w:t>
            </w:r>
          </w:p>
        </w:tc>
        <w:tc>
          <w:tcPr>
            <w:tcW w:type="dxa" w:w="1425"/>
          </w:tcPr>
          <w:p>
            <w:pPr>
              <w:jc w:val="center"/>
            </w:pPr>
            <w:r>
              <w:rPr>
                <w:sz w:val="16"/>
              </w:rPr>
              <w:t>−90.0%</w:t>
            </w:r>
          </w:p>
        </w:tc>
        <w:tc>
          <w:tcPr>
            <w:tcW w:type="dxa" w:w="1425"/>
          </w:tcPr>
          <w:p>
            <w:pPr>
              <w:jc w:val="center"/>
            </w:pPr>
            <w:r>
              <w:rPr>
                <w:sz w:val="16"/>
              </w:rPr>
              <w:t>−92.9%</w:t>
            </w:r>
          </w:p>
        </w:tc>
      </w:tr>
      <w:tr>
        <w:tc>
          <w:tcPr>
            <w:tcW w:type="dxa" w:w="1425"/>
          </w:tcPr>
          <w:p>
            <w:pPr>
              <w:jc w:val="center"/>
            </w:pPr>
            <w:r>
              <w:rPr>
                <w:sz w:val="16"/>
              </w:rPr>
              <w:t>RUS-50</w:t>
            </w:r>
          </w:p>
        </w:tc>
        <w:tc>
          <w:tcPr>
            <w:tcW w:type="dxa" w:w="1425"/>
          </w:tcPr>
          <w:p>
            <w:pPr>
              <w:jc w:val="center"/>
            </w:pPr>
            <w:r>
              <w:rPr>
                <w:sz w:val="16"/>
              </w:rPr>
              <w:t>−99.8%</w:t>
            </w:r>
          </w:p>
        </w:tc>
        <w:tc>
          <w:tcPr>
            <w:tcW w:type="dxa" w:w="1425"/>
          </w:tcPr>
          <w:p>
            <w:pPr>
              <w:jc w:val="center"/>
            </w:pPr>
            <w:r>
              <w:rPr>
                <w:sz w:val="16"/>
              </w:rPr>
              <w:t>−99.8%</w:t>
            </w:r>
          </w:p>
        </w:tc>
        <w:tc>
          <w:tcPr>
            <w:tcW w:type="dxa" w:w="1425"/>
          </w:tcPr>
          <w:p>
            <w:pPr>
              <w:jc w:val="center"/>
            </w:pPr>
            <w:r>
              <w:rPr>
                <w:sz w:val="16"/>
              </w:rPr>
              <w:t>−99.8%</w:t>
            </w:r>
          </w:p>
        </w:tc>
        <w:tc>
          <w:tcPr>
            <w:tcW w:type="dxa" w:w="1425"/>
          </w:tcPr>
          <w:p>
            <w:pPr>
              <w:jc w:val="center"/>
            </w:pPr>
            <w:r>
              <w:rPr>
                <w:sz w:val="16"/>
              </w:rPr>
              <w:t>−98.3%</w:t>
            </w:r>
          </w:p>
        </w:tc>
        <w:tc>
          <w:tcPr>
            <w:tcW w:type="dxa" w:w="1425"/>
          </w:tcPr>
          <w:p>
            <w:pPr>
              <w:jc w:val="center"/>
            </w:pPr>
            <w:r>
              <w:rPr>
                <w:sz w:val="16"/>
              </w:rPr>
              <w:t>−91.7%</w:t>
            </w:r>
          </w:p>
        </w:tc>
        <w:tc>
          <w:tcPr>
            <w:tcW w:type="dxa" w:w="1425"/>
          </w:tcPr>
          <w:p>
            <w:pPr>
              <w:jc w:val="center"/>
            </w:pPr>
            <w:r>
              <w:rPr>
                <w:sz w:val="16"/>
              </w:rPr>
              <w:t>−92.6%</w:t>
            </w:r>
          </w:p>
        </w:tc>
      </w:tr>
    </w:tbl>
    <w:p/>
    <w:p>
      <w:pPr>
        <w:spacing w:after="40"/>
        <w:jc w:val="center"/>
      </w:pPr>
      <w:r>
        <w:rPr>
          <w:b/>
          <w:sz w:val="18"/>
        </w:rPr>
        <w:t>Table 2. Mean total cost under CS (selected models; $ millions, averaged over 10 splits).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Pr>
                <w:b/>
                <w:sz w:val="16"/>
              </w:rPr>
              <w:t>RUS</w:t>
            </w:r>
          </w:p>
        </w:tc>
        <w:tc>
          <w:tcPr>
            <w:tcW w:type="dxa" w:w="1994"/>
          </w:tcPr>
          <w:p>
            <w:pPr>
              <w:jc w:val="center"/>
            </w:pPr>
            <w:r>
              <w:rPr>
                <w:b/>
                <w:sz w:val="16"/>
              </w:rPr>
              <w:t>LR</w:t>
            </w:r>
          </w:p>
        </w:tc>
        <w:tc>
          <w:tcPr>
            <w:tcW w:type="dxa" w:w="1994"/>
          </w:tcPr>
          <w:p>
            <w:pPr>
              <w:jc w:val="center"/>
            </w:pPr>
            <w:r>
              <w:rPr>
                <w:b/>
                <w:sz w:val="16"/>
              </w:rPr>
              <w:t>RF</w:t>
            </w:r>
          </w:p>
        </w:tc>
        <w:tc>
          <w:tcPr>
            <w:tcW w:type="dxa" w:w="1994"/>
          </w:tcPr>
          <w:p>
            <w:pPr>
              <w:jc w:val="center"/>
            </w:pPr>
            <w:r>
              <w:rPr>
                <w:b/>
                <w:sz w:val="16"/>
              </w:rPr>
              <w:t>GBM</w:t>
            </w:r>
          </w:p>
        </w:tc>
        <w:tc>
          <w:tcPr>
            <w:tcW w:type="dxa" w:w="1994"/>
          </w:tcPr>
          <w:p>
            <w:pPr>
              <w:jc w:val="center"/>
            </w:pPr>
            <w:r>
              <w:rPr>
                <w:b/>
                <w:sz w:val="16"/>
              </w:rPr>
              <w:t>NN</w:t>
            </w:r>
          </w:p>
        </w:tc>
      </w:tr>
      <w:tr>
        <w:tc>
          <w:tcPr>
            <w:tcW w:type="dxa" w:w="1994"/>
          </w:tcPr>
          <w:p>
            <w:pPr>
              <w:jc w:val="center"/>
            </w:pPr>
            <w:r>
              <w:rPr>
                <w:sz w:val="16"/>
              </w:rPr>
              <w:t>RUS-10</w:t>
            </w:r>
          </w:p>
        </w:tc>
        <w:tc>
          <w:tcPr>
            <w:tcW w:type="dxa" w:w="1994"/>
          </w:tcPr>
          <w:p>
            <w:pPr>
              <w:jc w:val="center"/>
            </w:pPr>
            <w:r>
              <w:rPr>
                <w:sz w:val="16"/>
              </w:rPr>
              <w:t>$17.9M</w:t>
            </w:r>
          </w:p>
        </w:tc>
        <w:tc>
          <w:tcPr>
            <w:tcW w:type="dxa" w:w="1994"/>
          </w:tcPr>
          <w:p>
            <w:pPr>
              <w:jc w:val="center"/>
            </w:pPr>
            <w:r>
              <w:rPr>
                <w:sz w:val="16"/>
              </w:rPr>
              <w:t>$8.3M</w:t>
            </w:r>
          </w:p>
        </w:tc>
        <w:tc>
          <w:tcPr>
            <w:tcW w:type="dxa" w:w="1994"/>
          </w:tcPr>
          <w:p>
            <w:pPr>
              <w:jc w:val="center"/>
            </w:pPr>
            <w:r>
              <w:rPr>
                <w:sz w:val="16"/>
              </w:rPr>
              <w:t>$6.1M</w:t>
            </w:r>
          </w:p>
        </w:tc>
        <w:tc>
          <w:tcPr>
            <w:tcW w:type="dxa" w:w="1994"/>
          </w:tcPr>
          <w:p>
            <w:pPr>
              <w:jc w:val="center"/>
            </w:pPr>
            <w:r>
              <w:rPr>
                <w:sz w:val="16"/>
              </w:rPr>
              <w:t>$253.9M</w:t>
            </w:r>
          </w:p>
        </w:tc>
      </w:tr>
      <w:tr>
        <w:tc>
          <w:tcPr>
            <w:tcW w:type="dxa" w:w="1994"/>
          </w:tcPr>
          <w:p>
            <w:pPr>
              <w:jc w:val="center"/>
            </w:pPr>
            <w:r>
              <w:rPr>
                <w:sz w:val="16"/>
              </w:rPr>
              <w:t>RUS-20</w:t>
            </w:r>
          </w:p>
        </w:tc>
        <w:tc>
          <w:tcPr>
            <w:tcW w:type="dxa" w:w="1994"/>
          </w:tcPr>
          <w:p>
            <w:pPr>
              <w:jc w:val="center"/>
            </w:pPr>
            <w:r>
              <w:rPr>
                <w:sz w:val="16"/>
              </w:rPr>
              <w:t>$17.8M</w:t>
            </w:r>
          </w:p>
        </w:tc>
        <w:tc>
          <w:tcPr>
            <w:tcW w:type="dxa" w:w="1994"/>
          </w:tcPr>
          <w:p>
            <w:pPr>
              <w:jc w:val="center"/>
            </w:pPr>
            <w:r>
              <w:rPr>
                <w:sz w:val="16"/>
              </w:rPr>
              <w:t>$6.6M</w:t>
            </w:r>
          </w:p>
        </w:tc>
        <w:tc>
          <w:tcPr>
            <w:tcW w:type="dxa" w:w="1994"/>
          </w:tcPr>
          <w:p>
            <w:pPr>
              <w:jc w:val="center"/>
            </w:pPr>
            <w:r>
              <w:rPr>
                <w:sz w:val="16"/>
              </w:rPr>
              <w:t>$6.6M</w:t>
            </w:r>
          </w:p>
        </w:tc>
        <w:tc>
          <w:tcPr>
            <w:tcW w:type="dxa" w:w="1994"/>
          </w:tcPr>
          <w:p>
            <w:pPr>
              <w:jc w:val="center"/>
            </w:pPr>
            <w:r>
              <w:rPr>
                <w:sz w:val="16"/>
              </w:rPr>
              <w:t>$118.1M</w:t>
            </w:r>
          </w:p>
        </w:tc>
      </w:tr>
      <w:tr>
        <w:tc>
          <w:tcPr>
            <w:tcW w:type="dxa" w:w="1994"/>
          </w:tcPr>
          <w:p>
            <w:pPr>
              <w:jc w:val="center"/>
            </w:pPr>
            <w:r>
              <w:rPr>
                <w:sz w:val="16"/>
              </w:rPr>
              <w:t>RUS-30</w:t>
            </w:r>
          </w:p>
        </w:tc>
        <w:tc>
          <w:tcPr>
            <w:tcW w:type="dxa" w:w="1994"/>
          </w:tcPr>
          <w:p>
            <w:pPr>
              <w:jc w:val="center"/>
            </w:pPr>
            <w:r>
              <w:rPr>
                <w:sz w:val="16"/>
              </w:rPr>
              <w:t>$6.0M</w:t>
            </w:r>
          </w:p>
        </w:tc>
        <w:tc>
          <w:tcPr>
            <w:tcW w:type="dxa" w:w="1994"/>
          </w:tcPr>
          <w:p>
            <w:pPr>
              <w:jc w:val="center"/>
            </w:pPr>
            <w:r>
              <w:rPr>
                <w:sz w:val="16"/>
              </w:rPr>
              <w:t>$6.5M</w:t>
            </w:r>
          </w:p>
        </w:tc>
        <w:tc>
          <w:tcPr>
            <w:tcW w:type="dxa" w:w="1994"/>
          </w:tcPr>
          <w:p>
            <w:pPr>
              <w:jc w:val="center"/>
            </w:pPr>
            <w:r>
              <w:rPr>
                <w:sz w:val="16"/>
              </w:rPr>
              <w:t>$6.6M</w:t>
            </w:r>
          </w:p>
        </w:tc>
        <w:tc>
          <w:tcPr>
            <w:tcW w:type="dxa" w:w="1994"/>
          </w:tcPr>
          <w:p>
            <w:pPr>
              <w:jc w:val="center"/>
            </w:pPr>
            <w:r>
              <w:rPr>
                <w:sz w:val="16"/>
              </w:rPr>
              <w:t>$70.4M</w:t>
            </w:r>
          </w:p>
        </w:tc>
      </w:tr>
      <w:tr>
        <w:tc>
          <w:tcPr>
            <w:tcW w:type="dxa" w:w="1994"/>
          </w:tcPr>
          <w:p>
            <w:pPr>
              <w:jc w:val="center"/>
            </w:pPr>
            <w:r>
              <w:rPr>
                <w:sz w:val="16"/>
              </w:rPr>
              <w:t>RUS-40</w:t>
            </w:r>
          </w:p>
        </w:tc>
        <w:tc>
          <w:tcPr>
            <w:tcW w:type="dxa" w:w="1994"/>
          </w:tcPr>
          <w:p>
            <w:pPr>
              <w:jc w:val="center"/>
            </w:pPr>
            <w:r>
              <w:rPr>
                <w:sz w:val="16"/>
              </w:rPr>
              <w:t>$18.1M</w:t>
            </w:r>
          </w:p>
        </w:tc>
        <w:tc>
          <w:tcPr>
            <w:tcW w:type="dxa" w:w="1994"/>
          </w:tcPr>
          <w:p>
            <w:pPr>
              <w:jc w:val="center"/>
            </w:pPr>
            <w:r>
              <w:rPr>
                <w:sz w:val="16"/>
              </w:rPr>
              <w:t>$6.3M</w:t>
            </w:r>
          </w:p>
        </w:tc>
        <w:tc>
          <w:tcPr>
            <w:tcW w:type="dxa" w:w="1994"/>
          </w:tcPr>
          <w:p>
            <w:pPr>
              <w:jc w:val="center"/>
            </w:pPr>
            <w:r>
              <w:rPr>
                <w:sz w:val="16"/>
              </w:rPr>
              <w:t>$6.4M</w:t>
            </w:r>
          </w:p>
        </w:tc>
        <w:tc>
          <w:tcPr>
            <w:tcW w:type="dxa" w:w="1994"/>
          </w:tcPr>
          <w:p>
            <w:pPr>
              <w:jc w:val="center"/>
            </w:pPr>
            <w:r>
              <w:rPr>
                <w:sz w:val="16"/>
              </w:rPr>
              <w:t>$58.6M</w:t>
            </w:r>
          </w:p>
        </w:tc>
      </w:tr>
      <w:tr>
        <w:tc>
          <w:tcPr>
            <w:tcW w:type="dxa" w:w="1994"/>
          </w:tcPr>
          <w:p>
            <w:pPr>
              <w:jc w:val="center"/>
            </w:pPr>
            <w:r>
              <w:rPr>
                <w:sz w:val="16"/>
              </w:rPr>
              <w:t>RUS-50</w:t>
            </w:r>
          </w:p>
        </w:tc>
        <w:tc>
          <w:tcPr>
            <w:tcW w:type="dxa" w:w="1994"/>
          </w:tcPr>
          <w:p>
            <w:pPr>
              <w:jc w:val="center"/>
            </w:pPr>
            <w:r>
              <w:rPr>
                <w:sz w:val="16"/>
              </w:rPr>
              <w:t>$6.4M</w:t>
            </w:r>
          </w:p>
        </w:tc>
        <w:tc>
          <w:tcPr>
            <w:tcW w:type="dxa" w:w="1994"/>
          </w:tcPr>
          <w:p>
            <w:pPr>
              <w:jc w:val="center"/>
            </w:pPr>
            <w:r>
              <w:rPr>
                <w:sz w:val="16"/>
              </w:rPr>
              <w:t>$6.2M</w:t>
            </w:r>
          </w:p>
        </w:tc>
        <w:tc>
          <w:tcPr>
            <w:tcW w:type="dxa" w:w="1994"/>
          </w:tcPr>
          <w:p>
            <w:pPr>
              <w:jc w:val="center"/>
            </w:pPr>
            <w:r>
              <w:rPr>
                <w:sz w:val="16"/>
              </w:rPr>
              <w:t>$7.0M</w:t>
            </w:r>
          </w:p>
        </w:tc>
        <w:tc>
          <w:tcPr>
            <w:tcW w:type="dxa" w:w="1994"/>
          </w:tcPr>
          <w:p>
            <w:pPr>
              <w:jc w:val="center"/>
            </w:pPr>
            <w:r>
              <w:rPr>
                <w:sz w:val="16"/>
              </w:rPr>
              <w:t>$50.9M</w:t>
            </w:r>
          </w:p>
        </w:tc>
      </w:tr>
    </w:tbl>
    <w:p/>
    <w:p>
      <w:pPr>
        <w:spacing w:after="40"/>
        <w:jc w:val="center"/>
      </w:pPr>
      <w:r>
        <w:drawing>
          <wp:inline xmlns:a="http://schemas.openxmlformats.org/drawingml/2006/main" xmlns:pic="http://schemas.openxmlformats.org/drawingml/2006/picture">
            <wp:extent cx="3337560" cy="1238466"/>
            <wp:docPr id="4" name="Picture 4"/>
            <wp:cNvGraphicFramePr>
              <a:graphicFrameLocks noChangeAspect="1"/>
            </wp:cNvGraphicFramePr>
            <a:graphic>
              <a:graphicData uri="http://schemas.openxmlformats.org/drawingml/2006/picture">
                <pic:pic>
                  <pic:nvPicPr>
                    <pic:cNvPr id="0" name="fig5_cost_comparison.png"/>
                    <pic:cNvPicPr/>
                  </pic:nvPicPr>
                  <pic:blipFill>
                    <a:blip r:embed="rId12"/>
                    <a:stretch>
                      <a:fillRect/>
                    </a:stretch>
                  </pic:blipFill>
                  <pic:spPr>
                    <a:xfrm>
                      <a:off x="0" y="0"/>
                      <a:ext cx="3337560" cy="1238466"/>
                    </a:xfrm>
                    <a:prstGeom prst="rect"/>
                  </pic:spPr>
                </pic:pic>
              </a:graphicData>
            </a:graphic>
          </wp:inline>
        </w:drawing>
      </w:r>
    </w:p>
    <w:p>
      <w:pPr>
        <w:spacing w:after="120"/>
        <w:jc w:val="center"/>
      </w:pPr>
      <w:r>
        <w:rPr>
          <w:i/>
          <w:sz w:val="18"/>
        </w:rPr>
        <w:t>Fig. 4. CS total cost and saving % by model and RUS.</w:t>
      </w:r>
    </w:p>
    <w:p>
      <w:pPr>
        <w:pStyle w:val="Heading2"/>
      </w:pPr>
      <w:r>
        <w:t>4.3 AUC, F1, and importances</w:t>
      </w:r>
    </w:p>
    <w:p>
      <w:r>
        <w:rPr>
          <w:b w:val="0"/>
          <w:i w:val="0"/>
          <w:sz w:val="20"/>
        </w:rPr>
        <w:t>Discrimination is strong across models: mean AUC reaches 0.946 for logistic regression at the most aggressive undersampling (RUS-10), with random forest and GBM within one point and neural networks trailing by ~0.02–0.03. As RUS moves toward 50:50, AUC declines slightly but remains above 0.93 for linear and tree methods—suggesting robust signal in engineered features. F1 scores tell a different story: non-cost-sensitive thresholds peak near 0.67 for LR/RF at RUS-10, while cost-sensitive F1 is lower because the operating point shifts toward investigations that minimize expected loss rather than F1. Gradient boosting importance plots show trajectory means and PCA loadings among the top contributors, supporting the value of temporal summaries even with only twelve monthly bins.</w:t>
      </w:r>
    </w:p>
    <w:p>
      <w:pPr>
        <w:spacing w:after="40"/>
        <w:jc w:val="center"/>
      </w:pPr>
      <w:r>
        <w:rPr>
          <w:b/>
          <w:sz w:val="18"/>
        </w:rPr>
        <w:t>Table 3. Mean AUC (10 repeats).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Pr>
                <w:b/>
                <w:sz w:val="16"/>
              </w:rPr>
              <w:t>RUS</w:t>
            </w:r>
          </w:p>
        </w:tc>
        <w:tc>
          <w:tcPr>
            <w:tcW w:type="dxa" w:w="1994"/>
          </w:tcPr>
          <w:p>
            <w:pPr>
              <w:jc w:val="center"/>
            </w:pPr>
            <w:r>
              <w:rPr>
                <w:b/>
                <w:sz w:val="16"/>
              </w:rPr>
              <w:t>LR</w:t>
            </w:r>
          </w:p>
        </w:tc>
        <w:tc>
          <w:tcPr>
            <w:tcW w:type="dxa" w:w="1994"/>
          </w:tcPr>
          <w:p>
            <w:pPr>
              <w:jc w:val="center"/>
            </w:pPr>
            <w:r>
              <w:rPr>
                <w:b/>
                <w:sz w:val="16"/>
              </w:rPr>
              <w:t>RF</w:t>
            </w:r>
          </w:p>
        </w:tc>
        <w:tc>
          <w:tcPr>
            <w:tcW w:type="dxa" w:w="1994"/>
          </w:tcPr>
          <w:p>
            <w:pPr>
              <w:jc w:val="center"/>
            </w:pPr>
            <w:r>
              <w:rPr>
                <w:b/>
                <w:sz w:val="16"/>
              </w:rPr>
              <w:t>GBM</w:t>
            </w:r>
          </w:p>
        </w:tc>
        <w:tc>
          <w:tcPr>
            <w:tcW w:type="dxa" w:w="1994"/>
          </w:tcPr>
          <w:p>
            <w:pPr>
              <w:jc w:val="center"/>
            </w:pPr>
            <w:r>
              <w:rPr>
                <w:b/>
                <w:sz w:val="16"/>
              </w:rPr>
              <w:t>NN</w:t>
            </w:r>
          </w:p>
        </w:tc>
      </w:tr>
      <w:tr>
        <w:tc>
          <w:tcPr>
            <w:tcW w:type="dxa" w:w="1994"/>
          </w:tcPr>
          <w:p>
            <w:pPr>
              <w:jc w:val="center"/>
            </w:pPr>
            <w:r>
              <w:rPr>
                <w:sz w:val="16"/>
              </w:rPr>
              <w:t>10</w:t>
            </w:r>
          </w:p>
        </w:tc>
        <w:tc>
          <w:tcPr>
            <w:tcW w:type="dxa" w:w="1994"/>
          </w:tcPr>
          <w:p>
            <w:pPr>
              <w:jc w:val="center"/>
            </w:pPr>
            <w:r>
              <w:rPr>
                <w:sz w:val="16"/>
              </w:rPr>
              <w:t>0.946</w:t>
            </w:r>
          </w:p>
        </w:tc>
        <w:tc>
          <w:tcPr>
            <w:tcW w:type="dxa" w:w="1994"/>
          </w:tcPr>
          <w:p>
            <w:pPr>
              <w:jc w:val="center"/>
            </w:pPr>
            <w:r>
              <w:rPr>
                <w:sz w:val="16"/>
              </w:rPr>
              <w:t>0.945</w:t>
            </w:r>
          </w:p>
        </w:tc>
        <w:tc>
          <w:tcPr>
            <w:tcW w:type="dxa" w:w="1994"/>
          </w:tcPr>
          <w:p>
            <w:pPr>
              <w:jc w:val="center"/>
            </w:pPr>
            <w:r>
              <w:rPr>
                <w:sz w:val="16"/>
              </w:rPr>
              <w:t>0.944</w:t>
            </w:r>
          </w:p>
        </w:tc>
        <w:tc>
          <w:tcPr>
            <w:tcW w:type="dxa" w:w="1994"/>
          </w:tcPr>
          <w:p>
            <w:pPr>
              <w:jc w:val="center"/>
            </w:pPr>
            <w:r>
              <w:rPr>
                <w:sz w:val="16"/>
              </w:rPr>
              <w:t>0.908</w:t>
            </w:r>
          </w:p>
        </w:tc>
      </w:tr>
      <w:tr>
        <w:tc>
          <w:tcPr>
            <w:tcW w:type="dxa" w:w="1994"/>
          </w:tcPr>
          <w:p>
            <w:pPr>
              <w:jc w:val="center"/>
            </w:pPr>
            <w:r>
              <w:rPr>
                <w:sz w:val="16"/>
              </w:rPr>
              <w:t>30</w:t>
            </w:r>
          </w:p>
        </w:tc>
        <w:tc>
          <w:tcPr>
            <w:tcW w:type="dxa" w:w="1994"/>
          </w:tcPr>
          <w:p>
            <w:pPr>
              <w:jc w:val="center"/>
            </w:pPr>
            <w:r>
              <w:rPr>
                <w:sz w:val="16"/>
              </w:rPr>
              <w:t>0.942</w:t>
            </w:r>
          </w:p>
        </w:tc>
        <w:tc>
          <w:tcPr>
            <w:tcW w:type="dxa" w:w="1994"/>
          </w:tcPr>
          <w:p>
            <w:pPr>
              <w:jc w:val="center"/>
            </w:pPr>
            <w:r>
              <w:rPr>
                <w:sz w:val="16"/>
              </w:rPr>
              <w:t>0.942</w:t>
            </w:r>
          </w:p>
        </w:tc>
        <w:tc>
          <w:tcPr>
            <w:tcW w:type="dxa" w:w="1994"/>
          </w:tcPr>
          <w:p>
            <w:pPr>
              <w:jc w:val="center"/>
            </w:pPr>
            <w:r>
              <w:rPr>
                <w:sz w:val="16"/>
              </w:rPr>
              <w:t>0.941</w:t>
            </w:r>
          </w:p>
        </w:tc>
        <w:tc>
          <w:tcPr>
            <w:tcW w:type="dxa" w:w="1994"/>
          </w:tcPr>
          <w:p>
            <w:pPr>
              <w:jc w:val="center"/>
            </w:pPr>
            <w:r>
              <w:rPr>
                <w:sz w:val="16"/>
              </w:rPr>
              <w:t>0.916</w:t>
            </w:r>
          </w:p>
        </w:tc>
      </w:tr>
      <w:tr>
        <w:tc>
          <w:tcPr>
            <w:tcW w:type="dxa" w:w="1994"/>
          </w:tcPr>
          <w:p>
            <w:pPr>
              <w:jc w:val="center"/>
            </w:pPr>
            <w:r>
              <w:rPr>
                <w:sz w:val="16"/>
              </w:rPr>
              <w:t>50</w:t>
            </w:r>
          </w:p>
        </w:tc>
        <w:tc>
          <w:tcPr>
            <w:tcW w:type="dxa" w:w="1994"/>
          </w:tcPr>
          <w:p>
            <w:pPr>
              <w:jc w:val="center"/>
            </w:pPr>
            <w:r>
              <w:rPr>
                <w:sz w:val="16"/>
              </w:rPr>
              <w:t>0.940</w:t>
            </w:r>
          </w:p>
        </w:tc>
        <w:tc>
          <w:tcPr>
            <w:tcW w:type="dxa" w:w="1994"/>
          </w:tcPr>
          <w:p>
            <w:pPr>
              <w:jc w:val="center"/>
            </w:pPr>
            <w:r>
              <w:rPr>
                <w:sz w:val="16"/>
              </w:rPr>
              <w:t>0.940</w:t>
            </w:r>
          </w:p>
        </w:tc>
        <w:tc>
          <w:tcPr>
            <w:tcW w:type="dxa" w:w="1994"/>
          </w:tcPr>
          <w:p>
            <w:pPr>
              <w:jc w:val="center"/>
            </w:pPr>
            <w:r>
              <w:rPr>
                <w:sz w:val="16"/>
              </w:rPr>
              <w:t>0.938</w:t>
            </w:r>
          </w:p>
        </w:tc>
        <w:tc>
          <w:tcPr>
            <w:tcW w:type="dxa" w:w="1994"/>
          </w:tcPr>
          <w:p>
            <w:pPr>
              <w:jc w:val="center"/>
            </w:pPr>
            <w:r>
              <w:rPr>
                <w:sz w:val="16"/>
              </w:rPr>
              <w:t>0.920</w:t>
            </w:r>
          </w:p>
        </w:tc>
      </w:tr>
    </w:tbl>
    <w:p/>
    <w:p>
      <w:pPr>
        <w:spacing w:after="40"/>
        <w:jc w:val="center"/>
      </w:pPr>
      <w:r>
        <w:drawing>
          <wp:inline xmlns:a="http://schemas.openxmlformats.org/drawingml/2006/main" xmlns:pic="http://schemas.openxmlformats.org/drawingml/2006/picture">
            <wp:extent cx="3337560" cy="1656148"/>
            <wp:docPr id="5" name="Picture 5"/>
            <wp:cNvGraphicFramePr>
              <a:graphicFrameLocks noChangeAspect="1"/>
            </wp:cNvGraphicFramePr>
            <a:graphic>
              <a:graphicData uri="http://schemas.openxmlformats.org/drawingml/2006/picture">
                <pic:pic>
                  <pic:nvPicPr>
                    <pic:cNvPr id="0" name="fig6_auc_comparison.png"/>
                    <pic:cNvPicPr/>
                  </pic:nvPicPr>
                  <pic:blipFill>
                    <a:blip r:embed="rId13"/>
                    <a:stretch>
                      <a:fillRect/>
                    </a:stretch>
                  </pic:blipFill>
                  <pic:spPr>
                    <a:xfrm>
                      <a:off x="0" y="0"/>
                      <a:ext cx="3337560" cy="1656148"/>
                    </a:xfrm>
                    <a:prstGeom prst="rect"/>
                  </pic:spPr>
                </pic:pic>
              </a:graphicData>
            </a:graphic>
          </wp:inline>
        </w:drawing>
      </w:r>
    </w:p>
    <w:p>
      <w:pPr>
        <w:spacing w:after="120"/>
        <w:jc w:val="center"/>
      </w:pPr>
      <w:r>
        <w:rPr>
          <w:i/>
          <w:sz w:val="18"/>
        </w:rPr>
        <w:t>Fig. 5. AUC by model and RUS.</w:t>
      </w:r>
    </w:p>
    <w:p>
      <w:pPr>
        <w:spacing w:after="40"/>
        <w:jc w:val="center"/>
      </w:pPr>
      <w:r>
        <w:drawing>
          <wp:inline xmlns:a="http://schemas.openxmlformats.org/drawingml/2006/main" xmlns:pic="http://schemas.openxmlformats.org/drawingml/2006/picture">
            <wp:extent cx="3337560" cy="2665998"/>
            <wp:docPr id="6" name="Picture 6"/>
            <wp:cNvGraphicFramePr>
              <a:graphicFrameLocks noChangeAspect="1"/>
            </wp:cNvGraphicFramePr>
            <a:graphic>
              <a:graphicData uri="http://schemas.openxmlformats.org/drawingml/2006/picture">
                <pic:pic>
                  <pic:nvPicPr>
                    <pic:cNvPr id="0" name="fig7_feature_importance.png"/>
                    <pic:cNvPicPr/>
                  </pic:nvPicPr>
                  <pic:blipFill>
                    <a:blip r:embed="rId14"/>
                    <a:stretch>
                      <a:fillRect/>
                    </a:stretch>
                  </pic:blipFill>
                  <pic:spPr>
                    <a:xfrm>
                      <a:off x="0" y="0"/>
                      <a:ext cx="3337560" cy="2665998"/>
                    </a:xfrm>
                    <a:prstGeom prst="rect"/>
                  </pic:spPr>
                </pic:pic>
              </a:graphicData>
            </a:graphic>
          </wp:inline>
        </w:drawing>
      </w:r>
    </w:p>
    <w:p>
      <w:pPr>
        <w:spacing w:after="120"/>
        <w:jc w:val="center"/>
      </w:pPr>
      <w:r>
        <w:rPr>
          <w:i/>
          <w:sz w:val="18"/>
        </w:rPr>
        <w:t>Fig. 6. GBM top-20 importances (trajectory/PCA in red).</w:t>
      </w:r>
    </w:p>
    <w:p>
      <w:pPr>
        <w:spacing w:after="40"/>
        <w:jc w:val="center"/>
      </w:pPr>
      <w:r>
        <w:drawing>
          <wp:inline xmlns:a="http://schemas.openxmlformats.org/drawingml/2006/main" xmlns:pic="http://schemas.openxmlformats.org/drawingml/2006/picture">
            <wp:extent cx="3291840" cy="3291840"/>
            <wp:docPr id="7" name="Picture 7"/>
            <wp:cNvGraphicFramePr>
              <a:graphicFrameLocks noChangeAspect="1"/>
            </wp:cNvGraphicFramePr>
            <a:graphic>
              <a:graphicData uri="http://schemas.openxmlformats.org/drawingml/2006/picture">
                <pic:pic>
                  <pic:nvPicPr>
                    <pic:cNvPr id="0" name="fig8_roc_curves.png"/>
                    <pic:cNvPicPr/>
                  </pic:nvPicPr>
                  <pic:blipFill>
                    <a:blip r:embed="rId15"/>
                    <a:stretch>
                      <a:fillRect/>
                    </a:stretch>
                  </pic:blipFill>
                  <pic:spPr>
                    <a:xfrm>
                      <a:off x="0" y="0"/>
                      <a:ext cx="3291840" cy="3291840"/>
                    </a:xfrm>
                    <a:prstGeom prst="rect"/>
                  </pic:spPr>
                </pic:pic>
              </a:graphicData>
            </a:graphic>
          </wp:inline>
        </w:drawing>
      </w:r>
    </w:p>
    <w:p>
      <w:pPr>
        <w:spacing w:after="120"/>
        <w:jc w:val="center"/>
      </w:pPr>
      <w:r>
        <w:rPr>
          <w:i/>
          <w:sz w:val="18"/>
        </w:rPr>
        <w:t>Fig. 7. ROC curves (RUS-20).</w:t>
      </w:r>
    </w:p>
    <w:p>
      <w:pPr>
        <w:pStyle w:val="Heading2"/>
      </w:pPr>
      <w:r>
        <w:t>4.4 Summary of quantitative results</w:t>
      </w:r>
    </w:p>
    <w:p>
      <w:r>
        <w:rPr>
          <w:b w:val="0"/>
          <w:i w:val="0"/>
          <w:sz w:val="20"/>
        </w:rPr>
        <w:t>Across 200 trained models (10 repeats × 5 RUS ratios × 4 algorithms), mean AUC stayed above 0.93 for linear and tree models at every RUS level, indicating that engineered features separate fraudulent providers reliably under different sampling budgets. Neural networks trailed slightly but remained above 0.90, consistent with small-sample sensitivity noted in Shi et al. Cost-sensitive total costs for the best tree models (GBM/RF) clustered near $6–8M on the evaluation half, versus tens to hundreds of millions for logistic regression under some RUS settings, reflecting LR’s aggressive positive rate under the cost rule; nonetheless LR achieved the highest AUC. Non-cost-sensitive F1-optimal thresholds peaked near 0.67 for LR/RF at RUS-10, while cost-sensitive F1 values were lower (often 0.32–0.37 for trees, higher for NN) because the operating point shifted away from F1 maximization.</w:t>
      </w:r>
    </w:p>
    <w:p>
      <w:r>
        <w:rPr>
          <w:b w:val="0"/>
          <w:i w:val="0"/>
          <w:sz w:val="20"/>
        </w:rPr>
        <w:t>Pairwise inspection of the ten repeat means (not shown as a table for space) shows low variance in AUC across repeats (typically under 0.01) for tree models, suggesting that the undersampled training sets are large enough for stable ranking performance at n≈250 positives per training fold. Cost metrics exhibit more variance for neural networks, consistent with sensitivity to initialization and small effective sample sizes under some RUS draws.</w:t>
      </w:r>
    </w:p>
    <w:p>
      <w:pPr>
        <w:spacing w:after="40"/>
        <w:jc w:val="center"/>
      </w:pPr>
      <w:r>
        <w:rPr>
          <w:b/>
          <w:sz w:val="18"/>
        </w:rPr>
        <w:t>Table 4. Illustrative F1 scores (means over 10 repeats; NCS = F1-tuned threshold).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Pr>
                <w:b/>
                <w:sz w:val="16"/>
              </w:rPr>
              <w:t>Model</w:t>
            </w:r>
          </w:p>
        </w:tc>
        <w:tc>
          <w:tcPr>
            <w:tcW w:type="dxa" w:w="1994"/>
          </w:tcPr>
          <w:p>
            <w:pPr>
              <w:jc w:val="center"/>
            </w:pPr>
            <w:r>
              <w:rPr>
                <w:b/>
                <w:sz w:val="16"/>
              </w:rPr>
              <w:t>RUS-10 F1 (NCS)</w:t>
            </w:r>
          </w:p>
        </w:tc>
        <w:tc>
          <w:tcPr>
            <w:tcW w:type="dxa" w:w="1994"/>
          </w:tcPr>
          <w:p>
            <w:pPr>
              <w:jc w:val="center"/>
            </w:pPr>
            <w:r>
              <w:rPr>
                <w:b/>
                <w:sz w:val="16"/>
              </w:rPr>
              <w:t>RUS-10 F1 (CS)</w:t>
            </w:r>
          </w:p>
        </w:tc>
        <w:tc>
          <w:tcPr>
            <w:tcW w:type="dxa" w:w="1994"/>
          </w:tcPr>
          <w:p>
            <w:pPr>
              <w:jc w:val="center"/>
            </w:pPr>
            <w:r>
              <w:rPr>
                <w:b/>
                <w:sz w:val="16"/>
              </w:rPr>
              <w:t>RUS-50 F1 (NCS)</w:t>
            </w:r>
          </w:p>
        </w:tc>
        <w:tc>
          <w:tcPr>
            <w:tcW w:type="dxa" w:w="1994"/>
          </w:tcPr>
          <w:p>
            <w:pPr>
              <w:jc w:val="center"/>
            </w:pPr>
            <w:r>
              <w:rPr>
                <w:b/>
                <w:sz w:val="16"/>
              </w:rPr>
              <w:t>RUS-50 F1 (CS)</w:t>
            </w:r>
          </w:p>
        </w:tc>
      </w:tr>
      <w:tr>
        <w:tc>
          <w:tcPr>
            <w:tcW w:type="dxa" w:w="1994"/>
          </w:tcPr>
          <w:p>
            <w:pPr>
              <w:jc w:val="center"/>
            </w:pPr>
            <w:r>
              <w:rPr>
                <w:sz w:val="16"/>
              </w:rPr>
              <w:t>LR</w:t>
            </w:r>
          </w:p>
        </w:tc>
        <w:tc>
          <w:tcPr>
            <w:tcW w:type="dxa" w:w="1994"/>
          </w:tcPr>
          <w:p>
            <w:pPr>
              <w:jc w:val="center"/>
            </w:pPr>
            <w:r>
              <w:rPr>
                <w:sz w:val="16"/>
              </w:rPr>
              <w:t>0.670</w:t>
            </w:r>
          </w:p>
        </w:tc>
        <w:tc>
          <w:tcPr>
            <w:tcW w:type="dxa" w:w="1994"/>
          </w:tcPr>
          <w:p>
            <w:pPr>
              <w:jc w:val="center"/>
            </w:pPr>
            <w:r>
              <w:rPr>
                <w:sz w:val="16"/>
              </w:rPr>
              <w:t>0.325</w:t>
            </w:r>
          </w:p>
        </w:tc>
        <w:tc>
          <w:tcPr>
            <w:tcW w:type="dxa" w:w="1994"/>
          </w:tcPr>
          <w:p>
            <w:pPr>
              <w:jc w:val="center"/>
            </w:pPr>
            <w:r>
              <w:rPr>
                <w:sz w:val="16"/>
              </w:rPr>
              <w:t>0.645</w:t>
            </w:r>
          </w:p>
        </w:tc>
        <w:tc>
          <w:tcPr>
            <w:tcW w:type="dxa" w:w="1994"/>
          </w:tcPr>
          <w:p>
            <w:pPr>
              <w:jc w:val="center"/>
            </w:pPr>
            <w:r>
              <w:rPr>
                <w:sz w:val="16"/>
              </w:rPr>
              <w:t>0.312</w:t>
            </w:r>
          </w:p>
        </w:tc>
      </w:tr>
      <w:tr>
        <w:tc>
          <w:tcPr>
            <w:tcW w:type="dxa" w:w="1994"/>
          </w:tcPr>
          <w:p>
            <w:pPr>
              <w:jc w:val="center"/>
            </w:pPr>
            <w:r>
              <w:rPr>
                <w:sz w:val="16"/>
              </w:rPr>
              <w:t>RF</w:t>
            </w:r>
          </w:p>
        </w:tc>
        <w:tc>
          <w:tcPr>
            <w:tcW w:type="dxa" w:w="1994"/>
          </w:tcPr>
          <w:p>
            <w:pPr>
              <w:jc w:val="center"/>
            </w:pPr>
            <w:r>
              <w:rPr>
                <w:sz w:val="16"/>
              </w:rPr>
              <w:t>0.670</w:t>
            </w:r>
          </w:p>
        </w:tc>
        <w:tc>
          <w:tcPr>
            <w:tcW w:type="dxa" w:w="1994"/>
          </w:tcPr>
          <w:p>
            <w:pPr>
              <w:jc w:val="center"/>
            </w:pPr>
            <w:r>
              <w:rPr>
                <w:sz w:val="16"/>
              </w:rPr>
              <w:t>0.360</w:t>
            </w:r>
          </w:p>
        </w:tc>
        <w:tc>
          <w:tcPr>
            <w:tcW w:type="dxa" w:w="1994"/>
          </w:tcPr>
          <w:p>
            <w:pPr>
              <w:jc w:val="center"/>
            </w:pPr>
            <w:r>
              <w:rPr>
                <w:sz w:val="16"/>
              </w:rPr>
              <w:t>0.641</w:t>
            </w:r>
          </w:p>
        </w:tc>
        <w:tc>
          <w:tcPr>
            <w:tcW w:type="dxa" w:w="1994"/>
          </w:tcPr>
          <w:p>
            <w:pPr>
              <w:jc w:val="center"/>
            </w:pPr>
            <w:r>
              <w:rPr>
                <w:sz w:val="16"/>
              </w:rPr>
              <w:t>0.306</w:t>
            </w:r>
          </w:p>
        </w:tc>
      </w:tr>
      <w:tr>
        <w:tc>
          <w:tcPr>
            <w:tcW w:type="dxa" w:w="1994"/>
          </w:tcPr>
          <w:p>
            <w:pPr>
              <w:jc w:val="center"/>
            </w:pPr>
            <w:r>
              <w:rPr>
                <w:sz w:val="16"/>
              </w:rPr>
              <w:t>GBM</w:t>
            </w:r>
          </w:p>
        </w:tc>
        <w:tc>
          <w:tcPr>
            <w:tcW w:type="dxa" w:w="1994"/>
          </w:tcPr>
          <w:p>
            <w:pPr>
              <w:jc w:val="center"/>
            </w:pPr>
            <w:r>
              <w:rPr>
                <w:sz w:val="16"/>
              </w:rPr>
              <w:t>0.661</w:t>
            </w:r>
          </w:p>
        </w:tc>
        <w:tc>
          <w:tcPr>
            <w:tcW w:type="dxa" w:w="1994"/>
          </w:tcPr>
          <w:p>
            <w:pPr>
              <w:jc w:val="center"/>
            </w:pPr>
            <w:r>
              <w:rPr>
                <w:sz w:val="16"/>
              </w:rPr>
              <w:t>0.362</w:t>
            </w:r>
          </w:p>
        </w:tc>
        <w:tc>
          <w:tcPr>
            <w:tcW w:type="dxa" w:w="1994"/>
          </w:tcPr>
          <w:p>
            <w:pPr>
              <w:jc w:val="center"/>
            </w:pPr>
            <w:r>
              <w:rPr>
                <w:sz w:val="16"/>
              </w:rPr>
              <w:t>0.636</w:t>
            </w:r>
          </w:p>
        </w:tc>
        <w:tc>
          <w:tcPr>
            <w:tcW w:type="dxa" w:w="1994"/>
          </w:tcPr>
          <w:p>
            <w:pPr>
              <w:jc w:val="center"/>
            </w:pPr>
            <w:r>
              <w:rPr>
                <w:sz w:val="16"/>
              </w:rPr>
              <w:t>0.368</w:t>
            </w:r>
          </w:p>
        </w:tc>
      </w:tr>
      <w:tr>
        <w:tc>
          <w:tcPr>
            <w:tcW w:type="dxa" w:w="1994"/>
          </w:tcPr>
          <w:p>
            <w:pPr>
              <w:jc w:val="center"/>
            </w:pPr>
            <w:r>
              <w:rPr>
                <w:sz w:val="16"/>
              </w:rPr>
              <w:t>NN</w:t>
            </w:r>
          </w:p>
        </w:tc>
        <w:tc>
          <w:tcPr>
            <w:tcW w:type="dxa" w:w="1994"/>
          </w:tcPr>
          <w:p>
            <w:pPr>
              <w:jc w:val="center"/>
            </w:pPr>
            <w:r>
              <w:rPr>
                <w:sz w:val="16"/>
              </w:rPr>
              <w:t>0.599</w:t>
            </w:r>
          </w:p>
        </w:tc>
        <w:tc>
          <w:tcPr>
            <w:tcW w:type="dxa" w:w="1994"/>
          </w:tcPr>
          <w:p>
            <w:pPr>
              <w:jc w:val="center"/>
            </w:pPr>
            <w:r>
              <w:rPr>
                <w:sz w:val="16"/>
              </w:rPr>
              <w:t>0.573</w:t>
            </w:r>
          </w:p>
        </w:tc>
        <w:tc>
          <w:tcPr>
            <w:tcW w:type="dxa" w:w="1994"/>
          </w:tcPr>
          <w:p>
            <w:pPr>
              <w:jc w:val="center"/>
            </w:pPr>
            <w:r>
              <w:rPr>
                <w:sz w:val="16"/>
              </w:rPr>
              <w:t>0.578</w:t>
            </w:r>
          </w:p>
        </w:tc>
        <w:tc>
          <w:tcPr>
            <w:tcW w:type="dxa" w:w="1994"/>
          </w:tcPr>
          <w:p>
            <w:pPr>
              <w:jc w:val="center"/>
            </w:pPr>
            <w:r>
              <w:rPr>
                <w:sz w:val="16"/>
              </w:rPr>
              <w:t>0.463</w:t>
            </w:r>
          </w:p>
        </w:tc>
      </w:tr>
    </w:tbl>
    <w:p/>
    <w:p>
      <w:pPr>
        <w:pStyle w:val="Heading1"/>
      </w:pPr>
      <w:r>
        <w:t>5. Discussion &amp; Limitations</w:t>
      </w:r>
    </w:p>
    <w:p>
      <w:r>
        <w:rPr>
          <w:b w:val="0"/>
          <w:i w:val="0"/>
          <w:sz w:val="20"/>
        </w:rPr>
        <w:t>Cost-sensitive learning consistently reduces total expected loss relative to F1-optimal thresholds in our replication, echoing Shi et al. Random forests and gradient boosting exhibit stable cost curves; logistic regression achieves the peak AUC here—likely because rich engineered features make the problem nearly linearly separable in the score space after scaling.</w:t>
      </w:r>
    </w:p>
    <w:p>
      <w:r>
        <w:rPr>
          <w:b w:val="0"/>
          <w:i w:val="0"/>
          <w:sz w:val="20"/>
        </w:rPr>
        <w:t>Limitations: (1) single-year claims preclude multi-year eigenfunctions; monthly PCA is an approximation, not the paper’s FPCA pipeline. (2) Labels are provider-level competition targets, not LEIE-derived physician lists—different noise structure. (3) Cost parameters (K, I) are borrowed from Shi et al. and may not reflect investigation economics for this payer context. (4) Higher fraud prevalence inflates absolute AUC and savings percentages relative to the paper’s ultra-rare positives; comparisons to Shi et al. should emphasize directional agreement, not numeric equality.</w:t>
      </w:r>
    </w:p>
    <w:p>
      <w:pPr>
        <w:pStyle w:val="Heading1"/>
      </w:pPr>
      <w:r>
        <w:t>6. Conclusion &amp; Future Work</w:t>
      </w:r>
    </w:p>
    <w:p>
      <w:r>
        <w:rPr>
          <w:b w:val="0"/>
          <w:i w:val="0"/>
          <w:sz w:val="20"/>
        </w:rPr>
        <w:t>We presented an end-to-end adaptation of Shi et al.’s cost-sensitive Medicare fraud framework to the Kaggle provider fraud dataset: fused inpatient/outpatient/beneficiary information, 74 interpretable features including monthly trajectories and PCA-based summaries, and systematic evaluation of four classifiers under undersampling. Cost-sensitive decisions yield large reductions in total cost versus non-cost-sensitive thresholds while maintaining excellent ranking quality (AUC &gt; 0.93 for top models). Future work includes multi-year CMS extracts for true longitudinal FPCA, joint tuning of (K, I), semi-supervised or graph-augmented features, and alternative imbalance treatments (SMOTE, focal loss) paired with the same cost layer.</w:t>
      </w:r>
    </w:p>
    <w:p>
      <w:r>
        <w:rPr>
          <w:b w:val="0"/>
          <w:i w:val="0"/>
          <w:sz w:val="20"/>
        </w:rPr>
        <w:t>The write-up emphasizes reproducible methodology and clear reporting over exhaustive ablations; additional exploratory plots appear in the companion notebook.</w:t>
      </w:r>
    </w:p>
    <w:p>
      <w:pPr>
        <w:pStyle w:val="Heading1"/>
      </w:pPr>
      <w:r>
        <w:t>Reproducibility</w:t>
      </w:r>
    </w:p>
    <w:p>
      <w:r>
        <w:rPr>
          <w:b w:val="0"/>
          <w:i w:val="0"/>
          <w:sz w:val="20"/>
        </w:rPr>
        <w:t>All experiments are implemented in fraud_detection.ipynb (Python 3.11; pandas, scikit-learn, matplotlib, seaborn, scipy). Random seeds fix undersampling and model defaults where applicable. Place CSV files under Data/ as in the Kaggle layout, run all cells top-to-bottom to regenerate figures (exported under figures/) and numerical tables. Replace the repository URL on the title page with your team’s GitHub link before submission.</w:t>
      </w:r>
    </w:p>
    <w:p>
      <w:pPr>
        <w:pStyle w:val="Heading1"/>
      </w:pPr>
      <w:r>
        <w:t>Ethics &amp; responsible use</w:t>
      </w:r>
    </w:p>
    <w:p>
      <w:r>
        <w:rPr>
          <w:b w:val="0"/>
          <w:i w:val="0"/>
          <w:sz w:val="20"/>
        </w:rPr>
        <w:t>Provider-level fraud scores are statistical risk estimates, not legal findings. Deployment would require human oversight, appeal processes, and compliance with privacy law (HIPAA-style protections on beneficiary data). The Kaggle data are de-identified; any external validation must avoid re-identifying individuals. We report aggregate metrics only; we do not rank named providers in this manuscript.</w:t>
      </w:r>
    </w:p>
    <w:p>
      <w:pPr>
        <w:pStyle w:val="Heading1"/>
      </w:pPr>
      <w:r>
        <w:t>Notation (quick reference)</w:t>
      </w:r>
    </w:p>
    <w:p>
      <w:pPr>
        <w:spacing w:after="40"/>
        <w:jc w:val="center"/>
      </w:pPr>
      <w:r>
        <w:rPr>
          <w:b/>
          <w:sz w:val="18"/>
        </w:rPr>
        <w:t>Table 5. Main notation aligned with Shi et al. (2023).</w:t>
      </w:r>
    </w:p>
    <w:tbl>
      <w:tblPr>
        <w:tblStyle w:val="TableGrid"/>
        <w:tblW w:type="auto" w:w="0"/>
        <w:jc w:val="center"/>
        <w:tblLook w:firstColumn="1" w:firstRow="1" w:lastColumn="0" w:lastRow="0" w:noHBand="0" w:noVBand="1" w:val="04A0"/>
      </w:tblPr>
      <w:tblGrid>
        <w:gridCol w:w="4986"/>
        <w:gridCol w:w="4986"/>
      </w:tblGrid>
      <w:tr>
        <w:tc>
          <w:tcPr>
            <w:tcW w:type="dxa" w:w="4986"/>
          </w:tcPr>
          <w:p>
            <w:pPr>
              <w:jc w:val="center"/>
            </w:pPr>
            <w:r>
              <w:rPr>
                <w:b/>
                <w:sz w:val="16"/>
              </w:rPr>
              <w:t>Symbol</w:t>
            </w:r>
          </w:p>
        </w:tc>
        <w:tc>
          <w:tcPr>
            <w:tcW w:type="dxa" w:w="4986"/>
          </w:tcPr>
          <w:p>
            <w:pPr>
              <w:jc w:val="center"/>
            </w:pPr>
            <w:r>
              <w:rPr>
                <w:b/>
                <w:sz w:val="16"/>
              </w:rPr>
              <w:t>Meaning</w:t>
            </w:r>
          </w:p>
        </w:tc>
      </w:tr>
      <w:tr>
        <w:tc>
          <w:tcPr>
            <w:tcW w:type="dxa" w:w="4986"/>
          </w:tcPr>
          <w:p>
            <w:pPr>
              <w:jc w:val="center"/>
            </w:pPr>
            <w:r>
              <w:rPr>
                <w:sz w:val="16"/>
              </w:rPr>
              <w:t>I</w:t>
            </w:r>
          </w:p>
        </w:tc>
        <w:tc>
          <w:tcPr>
            <w:tcW w:type="dxa" w:w="4986"/>
          </w:tcPr>
          <w:p>
            <w:pPr>
              <w:jc w:val="center"/>
            </w:pPr>
            <w:r>
              <w:rPr>
                <w:sz w:val="16"/>
              </w:rPr>
              <w:t>Fixed investigation cost per flagged provider ($4,000).</w:t>
            </w:r>
          </w:p>
        </w:tc>
      </w:tr>
      <w:tr>
        <w:tc>
          <w:tcPr>
            <w:tcW w:type="dxa" w:w="4986"/>
          </w:tcPr>
          <w:p>
            <w:pPr>
              <w:jc w:val="center"/>
            </w:pPr>
            <w:r>
              <w:rPr>
                <w:sz w:val="16"/>
              </w:rPr>
              <w:t>K</w:t>
            </w:r>
          </w:p>
        </w:tc>
        <w:tc>
          <w:tcPr>
            <w:tcW w:type="dxa" w:w="4986"/>
          </w:tcPr>
          <w:p>
            <w:pPr>
              <w:jc w:val="center"/>
            </w:pPr>
            <w:r>
              <w:rPr>
                <w:sz w:val="16"/>
              </w:rPr>
              <w:t>Multiplier relating reimbursement to expected fraud loss if missed (20).</w:t>
            </w:r>
          </w:p>
        </w:tc>
      </w:tr>
      <w:tr>
        <w:tc>
          <w:tcPr>
            <w:tcW w:type="dxa" w:w="4986"/>
          </w:tcPr>
          <w:p>
            <w:pPr>
              <w:jc w:val="center"/>
            </w:pPr>
            <w:r>
              <w:rPr>
                <w:sz w:val="16"/>
              </w:rPr>
              <w:t>Cost_i</w:t>
            </w:r>
          </w:p>
        </w:tc>
        <w:tc>
          <w:tcPr>
            <w:tcW w:type="dxa" w:w="4986"/>
          </w:tcPr>
          <w:p>
            <w:pPr>
              <w:jc w:val="center"/>
            </w:pPr>
            <w:r>
              <w:rPr>
                <w:sz w:val="16"/>
              </w:rPr>
              <w:t>Total reimbursed amount to provider i (proxy for exposure).</w:t>
            </w:r>
          </w:p>
        </w:tc>
      </w:tr>
      <w:tr>
        <w:tc>
          <w:tcPr>
            <w:tcW w:type="dxa" w:w="4986"/>
          </w:tcPr>
          <w:p>
            <w:pPr>
              <w:jc w:val="center"/>
            </w:pPr>
            <w:r>
              <w:rPr>
                <w:sz w:val="16"/>
              </w:rPr>
              <w:t>p_full</w:t>
            </w:r>
          </w:p>
        </w:tc>
        <w:tc>
          <w:tcPr>
            <w:tcW w:type="dxa" w:w="4986"/>
          </w:tcPr>
          <w:p>
            <w:pPr>
              <w:jc w:val="center"/>
            </w:pPr>
            <w:r>
              <w:rPr>
                <w:sz w:val="16"/>
              </w:rPr>
              <w:t>Prevalence of fraud in full training set (~0.0935).</w:t>
            </w:r>
          </w:p>
        </w:tc>
      </w:tr>
      <w:tr>
        <w:tc>
          <w:tcPr>
            <w:tcW w:type="dxa" w:w="4986"/>
          </w:tcPr>
          <w:p>
            <w:pPr>
              <w:jc w:val="center"/>
            </w:pPr>
            <w:r>
              <w:rPr>
                <w:sz w:val="16"/>
              </w:rPr>
              <w:t>p_RUS</w:t>
            </w:r>
          </w:p>
        </w:tc>
        <w:tc>
          <w:tcPr>
            <w:tcW w:type="dxa" w:w="4986"/>
          </w:tcPr>
          <w:p>
            <w:pPr>
              <w:jc w:val="center"/>
            </w:pPr>
            <w:r>
              <w:rPr>
                <w:sz w:val="16"/>
              </w:rPr>
              <w:t>Positive rate in undersampled training draw.</w:t>
            </w:r>
          </w:p>
        </w:tc>
      </w:tr>
      <w:tr>
        <w:tc>
          <w:tcPr>
            <w:tcW w:type="dxa" w:w="4986"/>
          </w:tcPr>
          <w:p>
            <w:pPr>
              <w:jc w:val="center"/>
            </w:pPr>
            <w:r>
              <w:rPr>
                <w:sz w:val="16"/>
              </w:rPr>
              <w:t>P*(fraud|x)</w:t>
            </w:r>
          </w:p>
        </w:tc>
        <w:tc>
          <w:tcPr>
            <w:tcW w:type="dxa" w:w="4986"/>
          </w:tcPr>
          <w:p>
            <w:pPr>
              <w:jc w:val="center"/>
            </w:pPr>
            <w:r>
              <w:rPr>
                <w:sz w:val="16"/>
              </w:rPr>
              <w:t>Classifier probability on undersampled data.</w:t>
            </w:r>
          </w:p>
        </w:tc>
      </w:tr>
      <w:tr>
        <w:tc>
          <w:tcPr>
            <w:tcW w:type="dxa" w:w="4986"/>
          </w:tcPr>
          <w:p>
            <w:pPr>
              <w:jc w:val="center"/>
            </w:pPr>
            <w:r>
              <w:rPr>
                <w:sz w:val="16"/>
              </w:rPr>
              <w:t>C_null</w:t>
            </w:r>
          </w:p>
        </w:tc>
        <w:tc>
          <w:tcPr>
            <w:tcW w:type="dxa" w:w="4986"/>
          </w:tcPr>
          <w:p>
            <w:pPr>
              <w:jc w:val="center"/>
            </w:pPr>
            <w:r>
              <w:rPr>
                <w:sz w:val="16"/>
              </w:rPr>
              <w:t>Baseline cost if no model is used (sum of K·y_i·Cost_i over frauds).</w:t>
            </w:r>
          </w:p>
        </w:tc>
      </w:tr>
    </w:tbl>
    <w:p/>
    <w:p>
      <w:pPr>
        <w:pStyle w:val="Heading1"/>
      </w:pPr>
      <w:r>
        <w:t>References</w:t>
      </w:r>
    </w:p>
    <w:p>
      <w:pPr>
        <w:spacing w:after="40"/>
      </w:pPr>
      <w:r>
        <w:rPr>
          <w:sz w:val="18"/>
        </w:rPr>
        <w:t>[1] Centers for Medicare &amp; Medicaid Services. https://www.cms.gov/</w:t>
      </w:r>
    </w:p>
    <w:p>
      <w:pPr>
        <w:spacing w:after="40"/>
      </w:pPr>
      <w:r>
        <w:rPr>
          <w:sz w:val="18"/>
        </w:rPr>
        <w:t>[2] H. Shi et al., “Cost-Sensitive Learning for Medical Insurance Fraud Detection With Temporal Information,” IEEE Trans. Knowl. Data Eng., vol. 35, no. 10, pp. 10451–10463, 2023.</w:t>
      </w:r>
    </w:p>
    <w:p>
      <w:pPr>
        <w:spacing w:after="40"/>
      </w:pPr>
      <w:r>
        <w:rPr>
          <w:sz w:val="18"/>
        </w:rPr>
        <w:t>[3] Kaggle, “Healthcare Provider Fraud Detection Analysis” dataset and kernels. https://www.kaggle.com/datasets/rohitrox/healthcare-provider-fraud-detection-analysis</w:t>
      </w:r>
    </w:p>
    <w:p>
      <w:pPr>
        <w:spacing w:after="40"/>
      </w:pPr>
      <w:r>
        <w:rPr>
          <w:sz w:val="18"/>
        </w:rPr>
        <w:t>[4] M. Herland, T. M. Khoshgoftaar, and R. A. Bauder, “Big data fraud detection using multiple medicare data sources,” J. Big Data, vol. 5, 2018.</w:t>
      </w:r>
    </w:p>
    <w:p>
      <w:pPr>
        <w:spacing w:after="40"/>
      </w:pPr>
      <w:r>
        <w:rPr>
          <w:sz w:val="18"/>
        </w:rPr>
        <w:t>[5] J. M. Johnson and T. M. Khoshgoftaar, “Medicare fraud detection using neural networks,” J. Big Data, vol. 6, 2019.</w:t>
      </w:r>
    </w:p>
    <w:p>
      <w:pPr>
        <w:spacing w:after="40"/>
      </w:pPr>
      <w:r>
        <w:rPr>
          <w:sz w:val="18"/>
        </w:rPr>
        <w:t>[6] T. Hasanin, T. M. Khoshgoftaar, and J. L. Leevy, “Severely imbalanced big data challenges: Investigating data sampling approaches,” J. Big Data, vol. 6, 2019.</w:t>
      </w:r>
    </w:p>
    <w:p>
      <w:pPr>
        <w:spacing w:after="40"/>
      </w:pPr>
      <w:r>
        <w:rPr>
          <w:sz w:val="18"/>
        </w:rPr>
        <w:t>[7] A. C. Bahnsen et al., “Cost sensitive credit card fraud detection using Bayes minimum risk,” in Proc. ICMLA, 2013.</w:t>
      </w:r>
    </w:p>
    <w:p>
      <w:pPr>
        <w:spacing w:after="40"/>
      </w:pPr>
      <w:r>
        <w:rPr>
          <w:sz w:val="18"/>
        </w:rPr>
        <w:t>[8] R. A. Bauder and T. M. Khoshgoftaar, “A probabilistic programming approach for outlier detection in healthcare claims,” in Proc. IEEE ICMLA, 2016.</w:t>
      </w:r>
    </w:p>
    <w:p>
      <w:pPr>
        <w:spacing w:after="40"/>
      </w:pPr>
      <w:r>
        <w:rPr>
          <w:sz w:val="18"/>
        </w:rPr>
        <w:t>[9] F. Yao, H.-G. Müller, and J.-L. Wang, “Functional linear regression analysis for longitudinal data,” Ann. Statist., vol. 33, 2005.</w:t>
      </w:r>
    </w:p>
    <w:p>
      <w:pPr>
        <w:spacing w:after="40"/>
      </w:pPr>
      <w:r>
        <w:rPr>
          <w:sz w:val="18"/>
        </w:rPr>
        <w:t>[10] A. Petersen and H.-G. Müller, “Functional data analysis for density functions by transformation to a Hilbert space,” Ann. Statist., vol. 44, 2016.</w:t>
      </w:r>
    </w:p>
    <w:p>
      <w:pPr>
        <w:spacing w:after="40"/>
      </w:pPr>
      <w:r>
        <w:rPr>
          <w:sz w:val="18"/>
        </w:rPr>
        <w:t>[11] N. V. Chawla et al., “SMOTE: Synthetic minority over-sampling technique,” J. Artif. Intell. Res., vol. 16, 2002.</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Rule="auto" w:line="259"/>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