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rPr/>
        <w:t xml:space="preserve">Salary Advance — follow-up on your remarks to 5.3 (GL ETB1278000010001)</w:t>
      </w:r>
    </w:p>
    <w:p>
      <w:pPr>
        <w:spacing w:after="40"/>
      </w:pPr>
      <w:r>
        <w:rPr>
          <w:b/>
        </w:rPr>
        <w:t xml:space="preserve">To:</w:t>
      </w:r>
      <w:r>
        <w:rPr/>
        <w:t xml:space="preserve"> NIB Bank    </w:t>
      </w:r>
      <w:r>
        <w:rPr>
          <w:b/>
        </w:rPr>
        <w:t xml:space="preserve">From:</w:t>
      </w:r>
      <w:r>
        <w:rPr/>
        <w:t xml:space="preserve"> Digital Lending Portal team    </w:t>
      </w:r>
      <w:r>
        <w:rPr>
          <w:b/>
        </w:rPr>
        <w:t xml:space="preserve">Date:</w:t>
      </w:r>
      <w:r>
        <w:rPr/>
        <w:t xml:space="preserve"> 9 October 2026</w:t>
      </w:r>
    </w:p>
    <w:p>
      <w:pPr/>
      <w:r>
        <w:rPr>
          <w:b/>
        </w:rPr>
        <w:t xml:space="preserve">Attachment:</w:t>
      </w:r>
      <w:r>
        <w:rPr/>
        <w:t xml:space="preserve"> cbs-statement-reconciliation-20261009-1454.xlsx — the reconciliation updated with your remarks (sheet "Customers", column "Bank confirmation").</w:t>
      </w:r>
    </w:p>
    <w:p>
      <w:pPr>
        <w:pStyle w:val="Heading2"/>
        <w:keepNext/>
      </w:pPr>
      <w:r>
        <w:rPr/>
        <w:t xml:space="preserve">Summary</w:t>
      </w:r>
    </w:p>
    <w:p>
      <w:pPr>
        <w:pStyle w:val="ListParagraph"/>
        <w:numPr>
          <w:ilvl w:val="0"/>
          <w:numId w:val="1"/>
        </w:numPr>
        <w:spacing w:after="60"/>
      </w:pPr>
      <w:r>
        <w:rPr/>
        <w:t xml:space="preserve">With your remarks, every part of the 38,150.10 is identified. </w:t>
      </w:r>
      <w:r>
        <w:rPr>
          <w:b/>
        </w:rPr>
        <w:t xml:space="preserve">ETB 72,900.00 was paid out to eight customers with no loan in the portal to cover it</w:t>
      </w:r>
      <w:r>
        <w:rPr/>
        <w:t xml:space="preserve"> and needs to be recovered. </w:t>
      </w:r>
      <w:r>
        <w:rPr>
          <w:b/>
        </w:rPr>
        <w:t xml:space="preserve">ETB 11,981.18 of customer overpayments (196 customers) is still to be refunded.</w:t>
      </w:r>
      <w:r>
        <w:rPr/>
        <w:t xml:space="preserve"> The rest is the interest and penalty explained in 5.3.4 and the small auto repayment refunds you identified.</w:t>
      </w:r>
    </w:p>
    <w:p>
      <w:pPr>
        <w:pStyle w:val="ListParagraph"/>
        <w:numPr>
          <w:ilvl w:val="0"/>
          <w:numId w:val="1"/>
        </w:numPr>
        <w:spacing w:after="60"/>
      </w:pPr>
      <w:r>
        <w:rPr/>
        <w:t xml:space="preserve">Your two questions about reversals are answered in section 1. One loan was reversed after the CBS had paid it; the other was not reversed but paid twice.</w:t>
      </w:r>
    </w:p>
    <w:p>
      <w:pPr>
        <w:pStyle w:val="ListParagraph"/>
        <w:numPr>
          <w:ilvl w:val="0"/>
          <w:numId w:val="1"/>
        </w:numPr>
        <w:spacing w:after="60"/>
      </w:pPr>
      <w:r>
        <w:rPr/>
        <w:t xml:space="preserve">Two of our earlier pairings were wrong, and your remarks correct them: SR/0027 recovered FT2601437LDT, and the 3 Mar credit was the NEGASH adjustment. ATAKLTI and TILAHUN are resolved (section 3).</w:t>
      </w:r>
    </w:p>
    <w:p>
      <w:pPr>
        <w:pStyle w:val="Heading1"/>
        <w:keepNext/>
      </w:pPr>
      <w:r>
        <w:rPr/>
        <w:t xml:space="preserve">1. Who performed the reversals</w:t>
      </w:r>
    </w:p>
    <w:p>
      <w:pPr>
        <w:spacing w:after="60"/>
      </w:pPr>
      <w:r>
        <w:rPr/>
        <w:t xml:space="preserve">Times are Addis Ababa time.</w:t>
      </w:r>
    </w:p>
    <w:tbl>
      <w:tblPr>
        <w:tblStyle w:val="TableGrid"/>
        <w:tblW w:w="0" w:type="auto"/>
        <w:tblLayout w:type="fixed"/>
        <w:tblCellMar>
          <w:left w:w="80" w:type="dxa"/>
          <w:right w:w="80" w:type="dxa"/>
        </w:tblCellMar>
      </w:tblPr>
      <w:tblGrid>
        <w:gridCol w:w="1500"/>
        <w:gridCol w:w="1900"/>
        <w:gridCol w:w="3150"/>
        <w:gridCol w:w="3050"/>
      </w:tblGrid>
      <w:tr>
        <w:trPr>
          <w:tblHeader/>
        </w:trPr>
        <w:tc>
          <w:tcPr>
            <w:tcW w:w="1500" w:type="dxa"/>
            <w:shd w:val="clear" w:color="auto" w:fill="DCE6F1"/>
          </w:tcPr>
          <w:p>
            <w:pPr>
              <w:pStyle w:val="TableText"/>
              <w:spacing w:after="0"/>
            </w:pPr>
            <w:r>
              <w:rPr>
                <w:b/>
              </w:rPr>
              <w:t xml:space="preserve">Reference</w:t>
            </w:r>
          </w:p>
        </w:tc>
        <w:tc>
          <w:tcPr>
            <w:tcW w:w="1900" w:type="dxa"/>
            <w:shd w:val="clear" w:color="auto" w:fill="DCE6F1"/>
          </w:tcPr>
          <w:p>
            <w:pPr>
              <w:pStyle w:val="TableText"/>
              <w:spacing w:after="0"/>
            </w:pPr>
            <w:r>
              <w:rPr>
                <w:b/>
              </w:rPr>
              <w:t xml:space="preserve">Customer</w:t>
            </w:r>
          </w:p>
        </w:tc>
        <w:tc>
          <w:tcPr>
            <w:tcW w:w="3150" w:type="dxa"/>
            <w:shd w:val="clear" w:color="auto" w:fill="DCE6F1"/>
          </w:tcPr>
          <w:p>
            <w:pPr>
              <w:pStyle w:val="TableText"/>
              <w:spacing w:after="0"/>
            </w:pPr>
            <w:r>
              <w:rPr>
                <w:b/>
              </w:rPr>
              <w:t xml:space="preserve">What the portal recorded</w:t>
            </w:r>
          </w:p>
        </w:tc>
        <w:tc>
          <w:tcPr>
            <w:tcW w:w="3050" w:type="dxa"/>
            <w:shd w:val="clear" w:color="auto" w:fill="DCE6F1"/>
          </w:tcPr>
          <w:p>
            <w:pPr>
              <w:pStyle w:val="TableText"/>
              <w:spacing w:after="0"/>
            </w:pPr>
            <w:r>
              <w:rPr>
                <w:b/>
              </w:rPr>
              <w:t xml:space="preserve">Reversal</w:t>
            </w:r>
          </w:p>
        </w:tc>
      </w:tr>
      <w:tr>
        <w:trPr>
          <w:cantSplit/>
        </w:trPr>
        <w:tc>
          <w:tcPr>
            <w:tcW w:w="1500" w:type="dxa"/>
          </w:tcPr>
          <w:p>
            <w:pPr>
              <w:pStyle w:val="TableText"/>
              <w:spacing w:after="0"/>
            </w:pPr>
            <w:r>
              <w:rPr/>
              <w:t xml:space="preserve">FT26090B1VY6 (31 Mar, 9,900.00)</w:t>
            </w:r>
          </w:p>
        </w:tc>
        <w:tc>
          <w:tcPr>
            <w:tcW w:w="1900" w:type="dxa"/>
          </w:tcPr>
          <w:p>
            <w:pPr>
              <w:pStyle w:val="TableText"/>
              <w:spacing w:after="0"/>
            </w:pPr>
            <w:r>
              <w:rPr/>
              <w:t xml:space="preserve">KUMNEGER ASNAKE MAMO, 7000036769241</w:t>
            </w:r>
          </w:p>
        </w:tc>
        <w:tc>
          <w:tcPr>
            <w:tcW w:w="3150" w:type="dxa"/>
          </w:tcPr>
          <w:p>
            <w:pPr>
              <w:pStyle w:val="TableText"/>
              <w:spacing w:after="0"/>
            </w:pPr>
            <w:r>
              <w:rPr/>
              <w:t xml:space="preserve">Loan of 10,000.00 requested 31 Mar 17:16. The disbursement service answered HTTP 503 (Service Unavailable) with no FT, so the portal recorded the disbursement as failed.</w:t>
            </w:r>
          </w:p>
        </w:tc>
        <w:tc>
          <w:tcPr>
            <w:tcW w:w="3050" w:type="dxa"/>
          </w:tcPr>
          <w:p>
            <w:pPr>
              <w:pStyle w:val="TableText"/>
              <w:spacing w:after="0"/>
            </w:pPr>
            <w:r>
              <w:rPr/>
              <w:t xml:space="preserve">Reversal requested 1 Apr 14:04 by </w:t>
            </w:r>
            <w:r>
              <w:rPr>
                <w:b/>
              </w:rPr>
              <w:t xml:space="preserve">Addisu Genene</w:t>
            </w:r>
            <w:r>
              <w:rPr/>
              <w:t xml:space="preserve"> (login dddd@gmail.com) and approved 14:19 by </w:t>
            </w:r>
            <w:r>
              <w:rPr>
                <w:b/>
              </w:rPr>
              <w:t xml:space="preserve">Beyenech Worse</w:t>
            </w:r>
            <w:r>
              <w:rPr/>
              <w:t xml:space="preserve"> (login ddddd@gmail.com), both in the Dispute role. The CBS had in fact paid FT26090B1VY6, so the customer holds 9,900.00 with no loan in the portal.</w:t>
            </w:r>
          </w:p>
        </w:tc>
      </w:tr>
      <w:tr>
        <w:trPr>
          <w:cantSplit/>
        </w:trPr>
        <w:tc>
          <w:tcPr>
            <w:tcW w:w="1500" w:type="dxa"/>
          </w:tcPr>
          <w:p>
            <w:pPr>
              <w:pStyle w:val="TableText"/>
              <w:spacing w:after="0"/>
            </w:pPr>
            <w:r>
              <w:rPr/>
              <w:t xml:space="preserve">FT26128PFYKD (8 May, 9,900.00)</w:t>
            </w:r>
          </w:p>
        </w:tc>
        <w:tc>
          <w:tcPr>
            <w:tcW w:w="1900" w:type="dxa"/>
          </w:tcPr>
          <w:p>
            <w:pPr>
              <w:pStyle w:val="TableText"/>
              <w:spacing w:after="0"/>
            </w:pPr>
            <w:r>
              <w:rPr/>
              <w:t xml:space="preserve">GUTEMA KENSI WAKO, 7000107143225</w:t>
            </w:r>
          </w:p>
        </w:tc>
        <w:tc>
          <w:tcPr>
            <w:tcW w:w="3150" w:type="dxa"/>
          </w:tcPr>
          <w:p>
            <w:pPr>
              <w:pStyle w:val="TableText"/>
              <w:spacing w:after="0"/>
            </w:pPr>
            <w:r>
              <w:rPr/>
              <w:t xml:space="preserve">One loan of 10,000.00. The portal sent one disbursement request at 15:50; the answer came almost two minutes later with FT26128CRTKL.</w:t>
            </w:r>
          </w:p>
        </w:tc>
        <w:tc>
          <w:tcPr>
            <w:tcW w:w="3050" w:type="dxa"/>
          </w:tcPr>
          <w:p>
            <w:pPr>
              <w:pStyle w:val="TableText"/>
              <w:spacing w:after="0"/>
            </w:pPr>
            <w:r>
              <w:rPr>
                <w:b/>
              </w:rPr>
              <w:t xml:space="preserve">No reversal was performed in the portal.</w:t>
            </w:r>
            <w:r>
              <w:rPr/>
              <w:t xml:space="preserve"> The statement shows two 9,900.00 disbursements to this customer that day, FT26128PFYKD and FT26128CRTKL (rows 27451 and 27453). The single request was paid twice between the disbursement service and the CBS. The customer repaid one loan (FT26199QWYM2, 18 Jul) and holds the second 9,900.00.</w:t>
            </w:r>
          </w:p>
        </w:tc>
      </w:tr>
    </w:tbl>
    <w:p>
      <w:pPr>
        <w:spacing w:after="60"/>
      </w:pPr>
    </w:p>
    <w:p>
      <w:pPr/>
      <w:r>
        <w:rPr/>
        <w:t xml:space="preserve">Both cases point to two controls. A disbursement that timed out or returned an error should be checked in the CBS before its loan is reversed. The disbursement service should not pay the same request twice.</w:t>
      </w:r>
    </w:p>
    <w:p>
      <w:pPr>
        <w:pStyle w:val="Heading1"/>
        <w:keepNext/>
      </w:pPr>
      <w:r>
        <w:rPr/>
        <w:t xml:space="preserve">2. Your remarks on 5.3.1</w:t>
      </w:r>
    </w:p>
    <w:tbl>
      <w:tblPr>
        <w:tblStyle w:val="TableGrid"/>
        <w:tblW w:w="0" w:type="auto"/>
        <w:tblLayout w:type="fixed"/>
        <w:tblCellMar>
          <w:left w:w="80" w:type="dxa"/>
          <w:right w:w="80" w:type="dxa"/>
        </w:tblCellMar>
      </w:tblPr>
      <w:tblGrid>
        <w:gridCol w:w="1700"/>
        <w:gridCol w:w="1800"/>
        <w:gridCol w:w="4700"/>
        <w:gridCol w:w="1400"/>
      </w:tblGrid>
      <w:tr>
        <w:trPr>
          <w:tblHeader/>
        </w:trPr>
        <w:tc>
          <w:tcPr>
            <w:tcW w:w="1700" w:type="dxa"/>
            <w:shd w:val="clear" w:color="auto" w:fill="DCE6F1"/>
          </w:tcPr>
          <w:p>
            <w:pPr>
              <w:pStyle w:val="TableText"/>
              <w:spacing w:after="0"/>
            </w:pPr>
            <w:r>
              <w:rPr>
                <w:b/>
              </w:rPr>
              <w:t xml:space="preserve">Reference</w:t>
            </w:r>
          </w:p>
        </w:tc>
        <w:tc>
          <w:tcPr>
            <w:tcW w:w="1800" w:type="dxa"/>
            <w:shd w:val="clear" w:color="auto" w:fill="DCE6F1"/>
          </w:tcPr>
          <w:p>
            <w:pPr>
              <w:pStyle w:val="TableText"/>
              <w:spacing w:after="0"/>
            </w:pPr>
            <w:r>
              <w:rPr>
                <w:b/>
              </w:rPr>
              <w:t xml:space="preserve">Customer</w:t>
            </w:r>
          </w:p>
        </w:tc>
        <w:tc>
          <w:tcPr>
            <w:tcW w:w="4700" w:type="dxa"/>
            <w:shd w:val="clear" w:color="auto" w:fill="DCE6F1"/>
          </w:tcPr>
          <w:p>
            <w:pPr>
              <w:pStyle w:val="TableText"/>
              <w:spacing w:after="0"/>
            </w:pPr>
            <w:r>
              <w:rPr>
                <w:b/>
              </w:rPr>
              <w:t xml:space="preserve">Your remark and our finding</w:t>
            </w:r>
          </w:p>
        </w:tc>
        <w:tc>
          <w:tcPr>
            <w:tcW w:w="1400" w:type="dxa"/>
            <w:shd w:val="clear" w:color="auto" w:fill="DCE6F1"/>
          </w:tcPr>
          <w:p>
            <w:pPr>
              <w:pStyle w:val="TableText"/>
              <w:spacing w:after="0"/>
            </w:pPr>
            <w:r>
              <w:rPr>
                <w:b/>
              </w:rPr>
              <w:t xml:space="preserve">Status</w:t>
            </w:r>
          </w:p>
        </w:tc>
      </w:tr>
      <w:tr>
        <w:trPr>
          <w:cantSplit/>
        </w:trPr>
        <w:tc>
          <w:tcPr>
            <w:tcW w:w="1700" w:type="dxa"/>
          </w:tcPr>
          <w:p>
            <w:pPr>
              <w:pStyle w:val="TableText"/>
              <w:spacing w:after="0"/>
            </w:pPr>
            <w:r>
              <w:rPr/>
              <w:t xml:space="preserve">SR 0030: DC260576001018001, DC260576001022001, DC260576001012001 (3 × 10,000.00)</w:t>
            </w:r>
          </w:p>
        </w:tc>
        <w:tc>
          <w:tcPr>
            <w:tcW w:w="1800" w:type="dxa"/>
          </w:tcPr>
          <w:p>
            <w:pPr>
              <w:pStyle w:val="TableText"/>
              <w:spacing w:after="0"/>
            </w:pPr>
            <w:r>
              <w:rPr/>
              <w:t xml:space="preserve">NUREDIN ABDELLA TAPANO 7000017849258; ABERASH MAHERI 7000002822388; DUGMA GEBSA NEGRO 7000003587636</w:t>
            </w:r>
          </w:p>
        </w:tc>
        <w:tc>
          <w:tcPr>
            <w:tcW w:w="4700" w:type="dxa"/>
          </w:tcPr>
          <w:p>
            <w:pPr>
              <w:pStyle w:val="TableText"/>
              <w:spacing w:after="0"/>
            </w:pPr>
            <w:r>
              <w:rPr/>
              <w:t xml:space="preserve">Each customer repaid their first loan in full (FT26015XYXXZ, FT26017P7VT7, FT2602332J9Z). Each then had a second loan that the portal recorded as disbursed but the CBS never paid. SR 0030 paid each of them 10,000.00 on 26 Feb. The second loans were then reversed in the portal: NUREDIN's and ABERASH's on 23 Mar (requested by the "Super Admin" user, approved by the "Approver" user), DUGMA's on 25 Mar by a system process. Each customer now holds 10,000.00 that no loan in the portal accounts for.</w:t>
            </w:r>
          </w:p>
        </w:tc>
        <w:tc>
          <w:tcPr>
            <w:tcW w:w="1400" w:type="dxa"/>
          </w:tcPr>
          <w:p>
            <w:pPr>
              <w:pStyle w:val="TableText"/>
              <w:spacing w:after="0"/>
            </w:pPr>
            <w:r>
              <w:rPr/>
              <w:t xml:space="preserve">To recover, or reinstate the loans (section 6, item 1)</w:t>
            </w:r>
          </w:p>
        </w:tc>
      </w:tr>
      <w:tr>
        <w:trPr>
          <w:cantSplit/>
        </w:trPr>
        <w:tc>
          <w:tcPr>
            <w:tcW w:w="1700" w:type="dxa"/>
          </w:tcPr>
          <w:p>
            <w:pPr>
              <w:pStyle w:val="TableText"/>
              <w:spacing w:after="0"/>
            </w:pPr>
            <w:r>
              <w:rPr/>
              <w:t xml:space="preserve">FT2601437LDT (14 Jan, 10,000.00)</w:t>
            </w:r>
          </w:p>
        </w:tc>
        <w:tc>
          <w:tcPr>
            <w:tcW w:w="1800" w:type="dxa"/>
          </w:tcPr>
          <w:p>
            <w:pPr>
              <w:pStyle w:val="TableText"/>
              <w:spacing w:after="0"/>
            </w:pPr>
            <w:r>
              <w:rPr/>
              <w:t xml:space="preserve">GENET ERIKO 7000001772428</w:t>
            </w:r>
          </w:p>
        </w:tc>
        <w:tc>
          <w:tcPr>
            <w:tcW w:w="4700" w:type="dxa"/>
          </w:tcPr>
          <w:p>
            <w:pPr>
              <w:pStyle w:val="TableText"/>
              <w:spacing w:after="0"/>
            </w:pPr>
            <w:r>
              <w:rPr/>
              <w:t xml:space="preserve">Second disbursement of one loan, recovered by SR/0027 on 23 Feb.</w:t>
            </w:r>
          </w:p>
        </w:tc>
        <w:tc>
          <w:tcPr>
            <w:tcW w:w="1400" w:type="dxa"/>
          </w:tcPr>
          <w:p>
            <w:pPr>
              <w:pStyle w:val="TableText"/>
              <w:spacing w:after="0"/>
            </w:pPr>
            <w:r>
              <w:rPr/>
              <w:t xml:space="preserve">Closed</w:t>
            </w:r>
          </w:p>
        </w:tc>
      </w:tr>
      <w:tr>
        <w:trPr>
          <w:cantSplit/>
        </w:trPr>
        <w:tc>
          <w:tcPr>
            <w:tcW w:w="1700" w:type="dxa"/>
          </w:tcPr>
          <w:p>
            <w:pPr>
              <w:pStyle w:val="TableText"/>
              <w:spacing w:after="0"/>
            </w:pPr>
            <w:r>
              <w:rPr/>
              <w:t xml:space="preserve">FT26010T774B, FT26010BKP3C (10 Jan); SR/0023 DC260506001060002 (−20,000.00)</w:t>
            </w:r>
          </w:p>
        </w:tc>
        <w:tc>
          <w:tcPr>
            <w:tcW w:w="1800" w:type="dxa"/>
          </w:tcPr>
          <w:p>
            <w:pPr>
              <w:pStyle w:val="TableText"/>
              <w:spacing w:after="0"/>
            </w:pPr>
            <w:r>
              <w:rPr/>
              <w:t xml:space="preserve">BETELEHEM W/GEBRIEL TIMERGA 7000003738707</w:t>
            </w:r>
          </w:p>
        </w:tc>
        <w:tc>
          <w:tcPr>
            <w:tcW w:w="4700" w:type="dxa"/>
          </w:tcPr>
          <w:p>
            <w:pPr>
              <w:pStyle w:val="TableText"/>
              <w:spacing w:after="0"/>
            </w:pPr>
            <w:r>
              <w:rPr/>
              <w:t xml:space="preserve">Her one loan of 10 Jan was paid three times (statement rows 245, 247, 249: FT26010TJ877, FT26010T774B, FT26010BKP3C). SR/0023 recovered the two extra.</w:t>
            </w:r>
          </w:p>
        </w:tc>
        <w:tc>
          <w:tcPr>
            <w:tcW w:w="1400" w:type="dxa"/>
          </w:tcPr>
          <w:p>
            <w:pPr>
              <w:pStyle w:val="TableText"/>
              <w:spacing w:after="0"/>
            </w:pPr>
            <w:r>
              <w:rPr/>
              <w:t xml:space="preserve">Closed</w:t>
            </w:r>
          </w:p>
        </w:tc>
      </w:tr>
      <w:tr>
        <w:trPr>
          <w:cantSplit/>
        </w:trPr>
        <w:tc>
          <w:tcPr>
            <w:tcW w:w="1700" w:type="dxa"/>
          </w:tcPr>
          <w:p>
            <w:pPr>
              <w:pStyle w:val="TableText"/>
              <w:spacing w:after="0"/>
            </w:pPr>
            <w:r>
              <w:rPr/>
              <w:t xml:space="preserve">FT26090B1VY6 (31 Mar, 9,900.00)</w:t>
            </w:r>
          </w:p>
        </w:tc>
        <w:tc>
          <w:tcPr>
            <w:tcW w:w="1800" w:type="dxa"/>
          </w:tcPr>
          <w:p>
            <w:pPr>
              <w:pStyle w:val="TableText"/>
              <w:spacing w:after="0"/>
            </w:pPr>
            <w:r>
              <w:rPr/>
              <w:t xml:space="preserve">KUMNEGER ASNAKE MAMO 7000036769241</w:t>
            </w:r>
          </w:p>
        </w:tc>
        <w:tc>
          <w:tcPr>
            <w:tcW w:w="4700" w:type="dxa"/>
          </w:tcPr>
          <w:p>
            <w:pPr>
              <w:pStyle w:val="TableText"/>
              <w:spacing w:after="0"/>
            </w:pPr>
            <w:r>
              <w:rPr/>
              <w:t xml:space="preserve">Loan reversed after the CBS had paid it (section 1).</w:t>
            </w:r>
          </w:p>
        </w:tc>
        <w:tc>
          <w:tcPr>
            <w:tcW w:w="1400" w:type="dxa"/>
          </w:tcPr>
          <w:p>
            <w:pPr>
              <w:pStyle w:val="TableText"/>
              <w:spacing w:after="0"/>
            </w:pPr>
            <w:r>
              <w:rPr/>
              <w:t xml:space="preserve">To recover, or reinstate the loan</w:t>
            </w:r>
          </w:p>
        </w:tc>
      </w:tr>
      <w:tr>
        <w:trPr>
          <w:cantSplit/>
        </w:trPr>
        <w:tc>
          <w:tcPr>
            <w:tcW w:w="1700" w:type="dxa"/>
          </w:tcPr>
          <w:p>
            <w:pPr>
              <w:pStyle w:val="TableText"/>
              <w:spacing w:after="0"/>
            </w:pPr>
            <w:r>
              <w:rPr/>
              <w:t xml:space="preserve">FT26128PFYKD (8 May, 9,900.00)</w:t>
            </w:r>
          </w:p>
        </w:tc>
        <w:tc>
          <w:tcPr>
            <w:tcW w:w="1800" w:type="dxa"/>
          </w:tcPr>
          <w:p>
            <w:pPr>
              <w:pStyle w:val="TableText"/>
              <w:spacing w:after="0"/>
            </w:pPr>
            <w:r>
              <w:rPr/>
              <w:t xml:space="preserve">GUTEMA KENSI WAKO 7000107143225</w:t>
            </w:r>
          </w:p>
        </w:tc>
        <w:tc>
          <w:tcPr>
            <w:tcW w:w="4700" w:type="dxa"/>
          </w:tcPr>
          <w:p>
            <w:pPr>
              <w:pStyle w:val="TableText"/>
              <w:spacing w:after="0"/>
            </w:pPr>
            <w:r>
              <w:rPr/>
              <w:t xml:space="preserve">Loan paid twice (section 1).</w:t>
            </w:r>
          </w:p>
        </w:tc>
        <w:tc>
          <w:tcPr>
            <w:tcW w:w="1400" w:type="dxa"/>
          </w:tcPr>
          <w:p>
            <w:pPr>
              <w:pStyle w:val="TableText"/>
              <w:spacing w:after="0"/>
            </w:pPr>
            <w:r>
              <w:rPr/>
              <w:t xml:space="preserve">To recover</w:t>
            </w:r>
          </w:p>
        </w:tc>
      </w:tr>
      <w:tr>
        <w:trPr>
          <w:cantSplit/>
        </w:trPr>
        <w:tc>
          <w:tcPr>
            <w:tcW w:w="1700" w:type="dxa"/>
          </w:tcPr>
          <w:p>
            <w:pPr>
              <w:pStyle w:val="TableText"/>
              <w:spacing w:after="0"/>
            </w:pPr>
            <w:r>
              <w:rPr/>
              <w:t xml:space="preserve">DC260506001004001 (19 Feb, 1,000.00)</w:t>
            </w:r>
          </w:p>
        </w:tc>
        <w:tc>
          <w:tcPr>
            <w:tcW w:w="1800" w:type="dxa"/>
          </w:tcPr>
          <w:p>
            <w:pPr>
              <w:pStyle w:val="TableText"/>
              <w:spacing w:after="0"/>
            </w:pPr>
            <w:r>
              <w:rPr/>
              <w:t xml:space="preserve">ADDISE MATHEWOS 7000025824763</w:t>
            </w:r>
          </w:p>
        </w:tc>
        <w:tc>
          <w:tcPr>
            <w:tcW w:w="4700" w:type="dxa"/>
          </w:tcPr>
          <w:p>
            <w:pPr>
              <w:pStyle w:val="TableText"/>
              <w:spacing w:after="0"/>
            </w:pPr>
            <w:r>
              <w:rPr/>
              <w:t xml:space="preserve">Refund of the 1,000.00 paid on 26 Jan (FT26026FD6D0) when the customer had no loan.</w:t>
            </w:r>
          </w:p>
        </w:tc>
        <w:tc>
          <w:tcPr>
            <w:tcW w:w="1400" w:type="dxa"/>
          </w:tcPr>
          <w:p>
            <w:pPr>
              <w:pStyle w:val="TableText"/>
              <w:spacing w:after="0"/>
            </w:pPr>
            <w:r>
              <w:rPr/>
              <w:t xml:space="preserve">Closed</w:t>
            </w:r>
          </w:p>
        </w:tc>
      </w:tr>
      <w:tr>
        <w:trPr>
          <w:cantSplit/>
        </w:trPr>
        <w:tc>
          <w:tcPr>
            <w:tcW w:w="1700" w:type="dxa"/>
          </w:tcPr>
          <w:p>
            <w:pPr>
              <w:pStyle w:val="TableText"/>
              <w:spacing w:after="0"/>
            </w:pPr>
            <w:r>
              <w:rPr/>
              <w:t xml:space="preserve">4 lines (−150.41)</w:t>
            </w:r>
          </w:p>
        </w:tc>
        <w:tc>
          <w:tcPr>
            <w:tcW w:w="1800" w:type="dxa"/>
          </w:tcPr>
          <w:p>
            <w:pPr>
              <w:pStyle w:val="TableText"/>
              <w:spacing w:after="0"/>
            </w:pPr>
            <w:r>
              <w:rPr/>
              <w:t xml:space="preserve">—</w:t>
            </w:r>
          </w:p>
        </w:tc>
        <w:tc>
          <w:tcPr>
            <w:tcW w:w="4700" w:type="dxa"/>
          </w:tcPr>
          <w:p>
            <w:pPr>
              <w:pStyle w:val="TableText"/>
              <w:spacing w:after="0"/>
            </w:pPr>
            <w:r>
              <w:rPr/>
              <w:t xml:space="preserve">Auto repayment refund amounts, as you note.</w:t>
            </w:r>
          </w:p>
        </w:tc>
        <w:tc>
          <w:tcPr>
            <w:tcW w:w="1400" w:type="dxa"/>
          </w:tcPr>
          <w:p>
            <w:pPr>
              <w:pStyle w:val="TableText"/>
              <w:spacing w:after="0"/>
            </w:pPr>
            <w:r>
              <w:rPr/>
              <w:t xml:space="preserve">Closed</w:t>
            </w:r>
          </w:p>
        </w:tc>
      </w:tr>
      <w:tr>
        <w:trPr>
          <w:cantSplit/>
        </w:trPr>
        <w:tc>
          <w:tcPr>
            <w:tcW w:w="1700" w:type="dxa"/>
          </w:tcPr>
          <w:p>
            <w:pPr>
              <w:pStyle w:val="TableText"/>
              <w:spacing w:after="0"/>
            </w:pPr>
            <w:r>
              <w:rPr/>
              <w:t xml:space="preserve">FT26062WLFK4 (3 Mar, −10,000.00)</w:t>
            </w:r>
          </w:p>
        </w:tc>
        <w:tc>
          <w:tcPr>
            <w:tcW w:w="1800" w:type="dxa"/>
          </w:tcPr>
          <w:p>
            <w:pPr>
              <w:pStyle w:val="TableText"/>
              <w:spacing w:after="0"/>
            </w:pPr>
            <w:r>
              <w:rPr/>
              <w:t xml:space="preserve">NEGASH MULUGETA ZEGEY 7000006596946</w:t>
            </w:r>
          </w:p>
        </w:tc>
        <w:tc>
          <w:tcPr>
            <w:tcW w:w="4700" w:type="dxa"/>
          </w:tcPr>
          <w:p>
            <w:pPr>
              <w:pStyle w:val="TableText"/>
              <w:spacing w:after="0"/>
            </w:pPr>
            <w:r>
              <w:rPr/>
              <w:t xml:space="preserve">Adjustment of the over-refund FT260587YHGZ (your remark in 5.3.2).</w:t>
            </w:r>
          </w:p>
        </w:tc>
        <w:tc>
          <w:tcPr>
            <w:tcW w:w="1400" w:type="dxa"/>
          </w:tcPr>
          <w:p>
            <w:pPr>
              <w:pStyle w:val="TableText"/>
              <w:spacing w:after="0"/>
            </w:pPr>
            <w:r>
              <w:rPr/>
              <w:t xml:space="preserve">Closed</w:t>
            </w:r>
          </w:p>
        </w:tc>
      </w:tr>
    </w:tbl>
    <w:p>
      <w:pPr>
        <w:spacing w:after="60"/>
      </w:pPr>
    </w:p>
    <w:p>
      <w:pPr>
        <w:pStyle w:val="Heading1"/>
        <w:keepNext/>
      </w:pPr>
      <w:r>
        <w:rPr/>
        <w:t xml:space="preserve">3. Your remarks on 5.3.2 and 5.3.3</w:t>
      </w:r>
    </w:p>
    <w:p>
      <w:pPr>
        <w:pStyle w:val="ListParagraph"/>
        <w:numPr>
          <w:ilvl w:val="0"/>
          <w:numId w:val="1"/>
        </w:numPr>
        <w:spacing w:after="60"/>
      </w:pPr>
      <w:r>
        <w:rPr>
          <w:b/>
        </w:rPr>
        <w:t xml:space="preserve">NEGASH MULUGETA ZEGEY.</w:t>
      </w:r>
      <w:r>
        <w:rPr/>
        <w:t xml:space="preserve"> With FT260587YHGZ adjusted on 3 Mar, </w:t>
      </w:r>
      <w:r>
        <w:rPr>
          <w:b/>
        </w:rPr>
        <w:t xml:space="preserve">10,000.00</w:t>
      </w:r>
      <w:r>
        <w:rPr/>
        <w:t xml:space="preserve"> (FT26058VCF3V, 27 Feb) is still to be recovered.</w:t>
      </w:r>
    </w:p>
    <w:p>
      <w:pPr>
        <w:pStyle w:val="ListParagraph"/>
        <w:numPr>
          <w:ilvl w:val="0"/>
          <w:numId w:val="1"/>
        </w:numPr>
        <w:spacing w:after="60"/>
      </w:pPr>
      <w:r>
        <w:rPr>
          <w:b/>
        </w:rPr>
        <w:t xml:space="preserve">HILINA ABAYNEH BEKELE.</w:t>
      </w:r>
      <w:r>
        <w:rPr/>
        <w:t xml:space="preserve"> You confirm that FT260583Q2LQ refunded her repayments FT260210W71D (3,000.18) and FT26042H0TZQ (10,002.00). The portal had applied both to her loans of 15 Jan (3,000.00) and 22 Jan (10,000.00), so those loans are effectively unpaid. Either </w:t>
      </w:r>
      <w:r>
        <w:rPr>
          <w:b/>
        </w:rPr>
        <w:t xml:space="preserve">13,000.00</w:t>
      </w:r>
      <w:r>
        <w:rPr/>
        <w:t xml:space="preserve"> is recovered, or the two loans are reopened in the portal.</w:t>
      </w:r>
    </w:p>
    <w:p>
      <w:pPr>
        <w:pStyle w:val="ListParagraph"/>
        <w:numPr>
          <w:ilvl w:val="0"/>
          <w:numId w:val="1"/>
        </w:numPr>
        <w:spacing w:after="60"/>
      </w:pPr>
      <w:r>
        <w:rPr>
          <w:b/>
        </w:rPr>
        <w:t xml:space="preserve">ATAKLTI EMBAYE ABERA — resolved.</w:t>
      </w:r>
      <w:r>
        <w:rPr/>
        <w:t xml:space="preserve"> The 6,538.94 refund (FT26203RMTRH) returned her own CBS auto-debit FT26202M1KXD of 21 Jul. We had attributed that debit to account 7000005122107 because the refund to that account (FT262033F848) quotes the same FT.</w:t>
      </w:r>
    </w:p>
    <w:p>
      <w:pPr>
        <w:pStyle w:val="ListParagraph"/>
        <w:numPr>
          <w:ilvl w:val="0"/>
          <w:numId w:val="1"/>
        </w:numPr>
        <w:spacing w:after="60"/>
      </w:pPr>
      <w:r>
        <w:rPr>
          <w:b/>
        </w:rPr>
        <w:t xml:space="preserve">TILAHUN DEDACHO GENTAMO (7000005122107) — agreed, already refunded.</w:t>
      </w:r>
      <w:r>
        <w:rPr/>
        <w:t xml:space="preserve"> 5,537.01 was refunded on 22 Jul (FT262033F848) for the auto-debit FT26202173MT.</w:t>
      </w:r>
    </w:p>
    <w:p>
      <w:pPr>
        <w:pStyle w:val="ListParagraph"/>
        <w:numPr>
          <w:ilvl w:val="0"/>
          <w:numId w:val="1"/>
        </w:numPr>
        <w:spacing w:after="60"/>
      </w:pPr>
      <w:r>
        <w:rPr>
          <w:b/>
        </w:rPr>
        <w:t xml:space="preserve">ADDISE MATHEWOS GEINOROO — agreed, nothing to refund.</w:t>
      </w:r>
      <w:r>
        <w:rPr/>
        <w:t xml:space="preserve"> The 1,000.00 refund of 19 Feb covered it.</w:t>
      </w:r>
    </w:p>
    <w:p>
      <w:pPr>
        <w:pStyle w:val="ListParagraph"/>
        <w:numPr>
          <w:ilvl w:val="0"/>
          <w:numId w:val="1"/>
        </w:numPr>
        <w:spacing w:after="60"/>
      </w:pPr>
      <w:r>
        <w:rPr>
          <w:b/>
        </w:rPr>
        <w:t xml:space="preserve">DEBORA MEKONNEN ABTEW</w:t>
      </w:r>
      <w:r>
        <w:rPr/>
        <w:t xml:space="preserve"> — agreed: refund 6,000.00 to 7000103189182. </w:t>
      </w:r>
      <w:r>
        <w:rPr>
          <w:b/>
        </w:rPr>
        <w:t xml:space="preserve">TAGAY YANU BELEKU 563.76</w:t>
      </w:r>
      <w:r>
        <w:rPr/>
        <w:t xml:space="preserve"> and </w:t>
      </w:r>
      <w:r>
        <w:rPr>
          <w:b/>
        </w:rPr>
        <w:t xml:space="preserve">MIKIYAS ASFAW ABEBE 132.00</w:t>
      </w:r>
      <w:r>
        <w:rPr/>
        <w:t xml:space="preserve"> — agreed.</w:t>
      </w:r>
    </w:p>
    <w:p>
      <w:pPr>
        <w:pStyle w:val="ListParagraph"/>
        <w:numPr>
          <w:ilvl w:val="0"/>
          <w:numId w:val="1"/>
        </w:numPr>
        <w:spacing w:after="60"/>
      </w:pPr>
      <w:r>
        <w:rPr>
          <w:b/>
        </w:rPr>
        <w:t xml:space="preserve">HAMID HADI MOHAMMED, ERMIYAS TADESSE HAILEMARIAM and TIGIST ERKO LATA.</w:t>
      </w:r>
      <w:r>
        <w:rPr/>
        <w:t xml:space="preserve"> Your amounts (869.66, 610.07, 800.76) are the full CBS auto-debits. On the loan terms each loan still owed 9.00 of interest, which those auto-debits paid. The overpayments are therefore </w:t>
      </w:r>
      <w:r>
        <w:rPr>
          <w:b/>
        </w:rPr>
        <w:t xml:space="preserve">860.66, 601.07 and 791.76</w:t>
      </w:r>
      <w:r>
        <w:rPr/>
        <w:t xml:space="preserve">. Refunding your amounts waives 9.00 of interest per loan (27.00 in total). Either approach is fine; please tell us which one you apply.</w:t>
      </w:r>
    </w:p>
    <w:p>
      <w:pPr>
        <w:pStyle w:val="ListParagraph"/>
        <w:numPr>
          <w:ilvl w:val="0"/>
          <w:numId w:val="1"/>
        </w:numPr>
        <w:spacing w:after="60"/>
      </w:pPr>
      <w:r>
        <w:rPr>
          <w:b/>
        </w:rPr>
        <w:t xml:space="preserve">Account 7000063691041.</w:t>
      </w:r>
      <w:r>
        <w:rPr/>
        <w:t xml:space="preserve"> 100.00 was transferred to it on 16 Apr (FT26106MY3CX), and nothing was paid in from that account. Please explain or recover it.</w:t>
      </w:r>
    </w:p>
    <w:p>
      <w:pPr>
        <w:pStyle w:val="Heading1"/>
        <w:keepNext/>
      </w:pPr>
      <w:r>
        <w:rPr/>
        <w:t xml:space="preserve">4. Updated breakdown of the 38,150.10</w:t>
      </w:r>
    </w:p>
    <w:tbl>
      <w:tblPr>
        <w:tblStyle w:val="TableGrid"/>
        <w:tblW w:w="0" w:type="auto"/>
        <w:tblLayout w:type="fixed"/>
        <w:tblCellMar>
          <w:left w:w="80" w:type="dxa"/>
          <w:right w:w="80" w:type="dxa"/>
        </w:tblCellMar>
      </w:tblPr>
      <w:tblGrid>
        <w:gridCol w:w="7300"/>
        <w:gridCol w:w="2300"/>
      </w:tblGrid>
      <w:tr>
        <w:trPr>
          <w:tblHeader/>
        </w:trPr>
        <w:tc>
          <w:tcPr>
            <w:tcW w:w="7300" w:type="dxa"/>
            <w:shd w:val="clear" w:color="auto" w:fill="DCE6F1"/>
          </w:tcPr>
          <w:p>
            <w:pPr>
              <w:pStyle w:val="TableText"/>
              <w:spacing w:after="0"/>
            </w:pPr>
            <w:r>
              <w:rPr>
                <w:b/>
              </w:rPr>
              <w:t xml:space="preserve">Item</w:t>
            </w:r>
          </w:p>
        </w:tc>
        <w:tc>
          <w:tcPr>
            <w:tcW w:w="2300" w:type="dxa"/>
            <w:shd w:val="clear" w:color="auto" w:fill="DCE6F1"/>
          </w:tcPr>
          <w:p>
            <w:pPr>
              <w:pStyle w:val="TableText"/>
              <w:spacing w:after="0"/>
              <w:jc w:val="right"/>
            </w:pPr>
            <w:r>
              <w:rPr>
                <w:b/>
              </w:rPr>
              <w:t xml:space="preserve">ETB</w:t>
            </w:r>
          </w:p>
        </w:tc>
      </w:tr>
      <w:tr>
        <w:trPr>
          <w:cantSplit/>
        </w:trPr>
        <w:tc>
          <w:tcPr>
            <w:tcW w:w="7300" w:type="dxa"/>
          </w:tcPr>
          <w:p>
            <w:pPr>
              <w:pStyle w:val="TableText"/>
              <w:spacing w:after="0"/>
            </w:pPr>
            <w:r>
              <w:rPr>
                <w:b/>
              </w:rPr>
              <w:t xml:space="preserve">Paid out to customers with no loan in the portal to cover it (to recover)</w:t>
            </w:r>
          </w:p>
        </w:tc>
        <w:tc>
          <w:tcPr>
            <w:tcW w:w="2300" w:type="dxa"/>
          </w:tcPr>
          <w:p>
            <w:pPr>
              <w:pStyle w:val="TableText"/>
              <w:spacing w:after="0"/>
              <w:jc w:val="right"/>
            </w:pPr>
            <w:r>
              <w:rPr>
                <w:b/>
              </w:rPr>
              <w:t xml:space="preserve">72,900.00</w:t>
            </w:r>
          </w:p>
        </w:tc>
      </w:tr>
      <w:tr>
        <w:trPr>
          <w:cantSplit/>
        </w:trPr>
        <w:tc>
          <w:tcPr>
            <w:tcW w:w="7300" w:type="dxa"/>
          </w:tcPr>
          <w:p>
            <w:pPr>
              <w:pStyle w:val="TableText"/>
              <w:spacing w:after="0"/>
            </w:pPr>
            <w:r>
              <w:rPr/>
              <w:t xml:space="preserve">    NUREDIN, ABERASH and DUGMA (SR 0030)</w:t>
            </w:r>
          </w:p>
        </w:tc>
        <w:tc>
          <w:tcPr>
            <w:tcW w:w="2300" w:type="dxa"/>
          </w:tcPr>
          <w:p>
            <w:pPr>
              <w:pStyle w:val="TableText"/>
              <w:spacing w:after="0"/>
              <w:jc w:val="right"/>
            </w:pPr>
            <w:r>
              <w:rPr/>
              <w:t xml:space="preserve">30,000.00</w:t>
            </w:r>
          </w:p>
        </w:tc>
      </w:tr>
      <w:tr>
        <w:trPr>
          <w:cantSplit/>
        </w:trPr>
        <w:tc>
          <w:tcPr>
            <w:tcW w:w="7300" w:type="dxa"/>
          </w:tcPr>
          <w:p>
            <w:pPr>
              <w:pStyle w:val="TableText"/>
              <w:spacing w:after="0"/>
            </w:pPr>
            <w:r>
              <w:rPr/>
              <w:t xml:space="preserve">    HILINA ABAYNEH BEKELE (repayments refunded)</w:t>
            </w:r>
          </w:p>
        </w:tc>
        <w:tc>
          <w:tcPr>
            <w:tcW w:w="2300" w:type="dxa"/>
          </w:tcPr>
          <w:p>
            <w:pPr>
              <w:pStyle w:val="TableText"/>
              <w:spacing w:after="0"/>
              <w:jc w:val="right"/>
            </w:pPr>
            <w:r>
              <w:rPr/>
              <w:t xml:space="preserve">13,000.00</w:t>
            </w:r>
          </w:p>
        </w:tc>
      </w:tr>
      <w:tr>
        <w:trPr>
          <w:cantSplit/>
        </w:trPr>
        <w:tc>
          <w:tcPr>
            <w:tcW w:w="7300" w:type="dxa"/>
          </w:tcPr>
          <w:p>
            <w:pPr>
              <w:pStyle w:val="TableText"/>
              <w:spacing w:after="0"/>
            </w:pPr>
            <w:r>
              <w:rPr/>
              <w:t xml:space="preserve">    NEGASH MULUGETA ZEGEY (over-refund, after the 3 Mar adjustment)</w:t>
            </w:r>
          </w:p>
        </w:tc>
        <w:tc>
          <w:tcPr>
            <w:tcW w:w="2300" w:type="dxa"/>
          </w:tcPr>
          <w:p>
            <w:pPr>
              <w:pStyle w:val="TableText"/>
              <w:spacing w:after="0"/>
              <w:jc w:val="right"/>
            </w:pPr>
            <w:r>
              <w:rPr/>
              <w:t xml:space="preserve">10,000.00</w:t>
            </w:r>
          </w:p>
        </w:tc>
      </w:tr>
      <w:tr>
        <w:trPr>
          <w:cantSplit/>
        </w:trPr>
        <w:tc>
          <w:tcPr>
            <w:tcW w:w="7300" w:type="dxa"/>
          </w:tcPr>
          <w:p>
            <w:pPr>
              <w:pStyle w:val="TableText"/>
              <w:spacing w:after="0"/>
            </w:pPr>
            <w:r>
              <w:rPr/>
              <w:t xml:space="preserve">    KUMNEGER ASNAKE MAMO (loan reversed after the CBS paid it)</w:t>
            </w:r>
          </w:p>
        </w:tc>
        <w:tc>
          <w:tcPr>
            <w:tcW w:w="2300" w:type="dxa"/>
          </w:tcPr>
          <w:p>
            <w:pPr>
              <w:pStyle w:val="TableText"/>
              <w:spacing w:after="0"/>
              <w:jc w:val="right"/>
            </w:pPr>
            <w:r>
              <w:rPr/>
              <w:t xml:space="preserve">9,900.00</w:t>
            </w:r>
          </w:p>
        </w:tc>
      </w:tr>
      <w:tr>
        <w:trPr>
          <w:cantSplit/>
        </w:trPr>
        <w:tc>
          <w:tcPr>
            <w:tcW w:w="7300" w:type="dxa"/>
          </w:tcPr>
          <w:p>
            <w:pPr>
              <w:pStyle w:val="TableText"/>
              <w:spacing w:after="0"/>
            </w:pPr>
            <w:r>
              <w:rPr/>
              <w:t xml:space="preserve">    GUTEMA KENSI WAKO (loan paid twice)</w:t>
            </w:r>
          </w:p>
        </w:tc>
        <w:tc>
          <w:tcPr>
            <w:tcW w:w="2300" w:type="dxa"/>
          </w:tcPr>
          <w:p>
            <w:pPr>
              <w:pStyle w:val="TableText"/>
              <w:spacing w:after="0"/>
              <w:jc w:val="right"/>
            </w:pPr>
            <w:r>
              <w:rPr/>
              <w:t xml:space="preserve">9,900.00</w:t>
            </w:r>
          </w:p>
        </w:tc>
      </w:tr>
      <w:tr>
        <w:trPr>
          <w:cantSplit/>
        </w:trPr>
        <w:tc>
          <w:tcPr>
            <w:tcW w:w="7300" w:type="dxa"/>
          </w:tcPr>
          <w:p>
            <w:pPr>
              <w:pStyle w:val="TableText"/>
              <w:spacing w:after="0"/>
            </w:pPr>
            <w:r>
              <w:rPr/>
              <w:t xml:space="preserve">    Account 7000063691041</w:t>
            </w:r>
          </w:p>
        </w:tc>
        <w:tc>
          <w:tcPr>
            <w:tcW w:w="2300" w:type="dxa"/>
          </w:tcPr>
          <w:p>
            <w:pPr>
              <w:pStyle w:val="TableText"/>
              <w:spacing w:after="0"/>
              <w:jc w:val="right"/>
            </w:pPr>
            <w:r>
              <w:rPr/>
              <w:t xml:space="preserve">100.00</w:t>
            </w:r>
          </w:p>
        </w:tc>
      </w:tr>
      <w:tr>
        <w:trPr>
          <w:cantSplit/>
        </w:trPr>
        <w:tc>
          <w:tcPr>
            <w:tcW w:w="7300" w:type="dxa"/>
          </w:tcPr>
          <w:p>
            <w:pPr>
              <w:pStyle w:val="TableText"/>
              <w:spacing w:after="0"/>
            </w:pPr>
            <w:r>
              <w:rPr>
                <w:b/>
              </w:rPr>
              <w:t xml:space="preserve">Customer overpayments still on the GL, to refund (196 customers)</w:t>
            </w:r>
          </w:p>
        </w:tc>
        <w:tc>
          <w:tcPr>
            <w:tcW w:w="2300" w:type="dxa"/>
          </w:tcPr>
          <w:p>
            <w:pPr>
              <w:pStyle w:val="TableText"/>
              <w:spacing w:after="0"/>
              <w:jc w:val="right"/>
            </w:pPr>
            <w:r>
              <w:rPr>
                <w:b/>
              </w:rPr>
              <w:t xml:space="preserve">−11,981.18</w:t>
            </w:r>
          </w:p>
        </w:tc>
      </w:tr>
      <w:tr>
        <w:trPr>
          <w:cantSplit/>
        </w:trPr>
        <w:tc>
          <w:tcPr>
            <w:tcW w:w="7300" w:type="dxa"/>
          </w:tcPr>
          <w:p>
            <w:pPr>
              <w:pStyle w:val="TableText"/>
              <w:spacing w:after="0"/>
            </w:pPr>
            <w:r>
              <w:rPr/>
              <w:t xml:space="preserve">Auto repayment refund amounts</w:t>
            </w:r>
          </w:p>
        </w:tc>
        <w:tc>
          <w:tcPr>
            <w:tcW w:w="2300" w:type="dxa"/>
          </w:tcPr>
          <w:p>
            <w:pPr>
              <w:pStyle w:val="TableText"/>
              <w:spacing w:after="0"/>
              <w:jc w:val="right"/>
            </w:pPr>
            <w:r>
              <w:rPr/>
              <w:t xml:space="preserve">−150.41</w:t>
            </w:r>
          </w:p>
        </w:tc>
      </w:tr>
      <w:tr>
        <w:trPr>
          <w:cantSplit/>
        </w:trPr>
        <w:tc>
          <w:tcPr>
            <w:tcW w:w="7300" w:type="dxa"/>
          </w:tcPr>
          <w:p>
            <w:pPr>
              <w:pStyle w:val="TableText"/>
              <w:spacing w:after="0"/>
            </w:pPr>
            <w:r>
              <w:rPr/>
              <w:t xml:space="preserve">Interest and penalty the portal had reported as overpayment (5.3.4)</w:t>
            </w:r>
          </w:p>
        </w:tc>
        <w:tc>
          <w:tcPr>
            <w:tcW w:w="2300" w:type="dxa"/>
          </w:tcPr>
          <w:p>
            <w:pPr>
              <w:pStyle w:val="TableText"/>
              <w:spacing w:after="0"/>
              <w:jc w:val="right"/>
            </w:pPr>
            <w:r>
              <w:rPr/>
              <w:t xml:space="preserve">−22,618.31</w:t>
            </w:r>
          </w:p>
        </w:tc>
      </w:tr>
      <w:tr>
        <w:trPr>
          <w:cantSplit/>
        </w:trPr>
        <w:tc>
          <w:tcPr>
            <w:tcW w:w="7300" w:type="dxa"/>
          </w:tcPr>
          <w:p>
            <w:pPr>
              <w:pStyle w:val="TableText"/>
              <w:spacing w:after="0"/>
            </w:pPr>
            <w:r>
              <w:rPr>
                <w:b/>
              </w:rPr>
              <w:t xml:space="preserve">Difference (158,344.82 − 120,194.72)</w:t>
            </w:r>
          </w:p>
        </w:tc>
        <w:tc>
          <w:tcPr>
            <w:tcW w:w="2300" w:type="dxa"/>
          </w:tcPr>
          <w:p>
            <w:pPr>
              <w:pStyle w:val="TableText"/>
              <w:spacing w:after="0"/>
              <w:jc w:val="right"/>
            </w:pPr>
            <w:r>
              <w:rPr>
                <w:b/>
              </w:rPr>
              <w:t xml:space="preserve">38,150.10</w:t>
            </w:r>
          </w:p>
        </w:tc>
      </w:tr>
    </w:tbl>
    <w:p>
      <w:pPr>
        <w:spacing w:after="60"/>
      </w:pPr>
    </w:p>
    <w:p>
      <w:pPr/>
      <w:r>
        <w:rPr/>
        <w:t xml:space="preserve">The 196 refunds are listed in the attachment. The largest is DEBORA MEKONNEN ABTEW (6,000.00); eight are between 100.00 and 1,000.00, and 132 are under 10.00.</w:t>
      </w:r>
    </w:p>
    <w:p>
      <w:pPr>
        <w:pStyle w:val="Heading1"/>
        <w:keepNext/>
      </w:pPr>
      <w:r>
        <w:rPr/>
        <w:t xml:space="preserve">5. What changes in your figure</w:t>
      </w:r>
    </w:p>
    <w:p>
      <w:pPr/>
      <w:r>
        <w:rPr/>
        <w:t xml:space="preserve">With the corrected income still on the GL (51,502.62, see 5.3.4), the GL-derived outstanding is 180,963.13. Its difference from the loan book (60,768.41) is the 72,900.00 to recover, less the 11,981.18 to refund and the 150.41 of auto repayment refunds.</w:t>
      </w:r>
    </w:p>
    <w:p>
      <w:pPr>
        <w:pStyle w:val="Heading1"/>
        <w:keepNext/>
      </w:pPr>
      <w:r>
        <w:rPr/>
        <w:t xml:space="preserve">6. Requested actions</w:t>
      </w:r>
    </w:p>
    <w:p>
      <w:pPr>
        <w:pStyle w:val="ListParagraph"/>
        <w:numPr>
          <w:ilvl w:val="0"/>
          <w:numId w:val="2"/>
        </w:numPr>
        <w:spacing w:after="60"/>
      </w:pPr>
      <w:r>
        <w:rPr/>
        <w:t xml:space="preserve">Tell us what SR 0030 paid for: the second loans of NUREDIN, ABERASH and DUGMA, or refunds of their first-loan repayments. Tell us also whether you want those second loans, and KUMNEGER's loan, reinstated in the portal so they can be collected, or whether you will recover the amounts directly.</w:t>
      </w:r>
    </w:p>
    <w:p>
      <w:pPr>
        <w:pStyle w:val="ListParagraph"/>
        <w:numPr>
          <w:ilvl w:val="0"/>
          <w:numId w:val="2"/>
        </w:numPr>
        <w:spacing w:after="60"/>
      </w:pPr>
      <w:r>
        <w:rPr/>
        <w:t xml:space="preserve">Recover the second payout from GUTEMA (9,900.00) and the over-refunds from HILINA (13,000.00) and NEGASH (10,000.00). Explain or recover the 100.00 sent to 7000063691041.</w:t>
      </w:r>
    </w:p>
    <w:p>
      <w:pPr>
        <w:pStyle w:val="ListParagraph"/>
        <w:numPr>
          <w:ilvl w:val="0"/>
          <w:numId w:val="2"/>
        </w:numPr>
        <w:spacing w:after="60"/>
      </w:pPr>
      <w:r>
        <w:rPr/>
        <w:t xml:space="preserve">Refund the 196 customers in the attachment (11,981.18). For HAMID, ERMIYAS and TIGIST, choose the auto-debit or the loan-terms amount (section 3).</w:t>
      </w:r>
    </w:p>
    <w:p>
      <w:pPr>
        <w:pStyle w:val="ListParagraph"/>
        <w:numPr>
          <w:ilvl w:val="0"/>
          <w:numId w:val="2"/>
        </w:numPr>
        <w:spacing w:after="60"/>
      </w:pPr>
      <w:r>
        <w:rPr/>
        <w:t xml:space="preserve">Transfer the income still on the GL (51,502.62) to the income account.</w:t>
      </w:r>
    </w:p>
    <w:p>
      <w:pPr>
        <w:spacing w:after="0"/>
      </w:pPr>
      <w:r>
        <w:rPr/>
        <w:t xml:space="preserve">Digital Lending Portal team</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1"/>
        <w:szCs w:val="21"/>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F3864"/>
      <w:sz w:val="32"/>
      <w:szCs w:val="32"/>
    </w:rPr>
  </w:style>
  <w:style w:type="paragraph" w:styleId="Heading1">
    <w:name w:val="heading 1"/>
    <w:basedOn w:val="Normal"/>
    <w:next w:val="Normal"/>
    <w:qFormat/>
    <w:pPr>
      <w:keepNext/>
      <w:spacing w:before="280" w:after="100"/>
      <w:outlineLvl w:val="0"/>
    </w:pPr>
    <w:rPr>
      <w:b/>
      <w:color w:val="1F3864"/>
      <w:sz w:val="26"/>
      <w:szCs w:val="26"/>
    </w:rPr>
  </w:style>
  <w:style w:type="paragraph" w:styleId="Heading2">
    <w:name w:val="heading 2"/>
    <w:basedOn w:val="Normal"/>
    <w:next w:val="Normal"/>
    <w:qFormat/>
    <w:pPr>
      <w:keepNext/>
      <w:spacing w:before="200" w:after="80"/>
      <w:outlineLvl w:val="1"/>
    </w:pPr>
    <w:rPr>
      <w:b/>
      <w:color w:val="2F5496"/>
      <w:sz w:val="23"/>
      <w:szCs w:val="23"/>
    </w:rPr>
  </w:style>
  <w:style w:type="paragraph" w:styleId="ListParagraph">
    <w:name w:val="List Paragraph"/>
    <w:basedOn w:val="Normal"/>
    <w:qFormat/>
    <w:pPr>
      <w:ind w:left="720"/>
    </w:pPr>
  </w:style>
  <w:style w:type="paragraph" w:styleId="TableText">
    <w:name w:val="Table Text"/>
    <w:basedOn w:val="Normal"/>
    <w:pPr>
      <w:spacing w:before="20" w:after="20" w:line="240" w:lineRule="auto"/>
    </w:pPr>
    <w:rPr>
      <w:sz w:val="18"/>
      <w:szCs w:val="18"/>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Salary Advance — follow-up on your remarks to 5.3</dc:title>
  <dcterms:created xsi:type="dcterms:W3CDTF">2026-10-08T09:00:00Z</dcterms:created>
</cp:coreProperties>
</file>