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color w:val="0D1B2A"/>
          <w:sz w:val="56"/>
          <w:szCs w:val="56"/>
        </w:rPr>
        <w:t xml:space="preserve">ClamAV Operator</w:t>
      </w:r>
    </w:p>
    <w:p>
      <w:pPr>
        <w:spacing w:after="200" w:before="0"/>
        <w:jc w:val="center"/>
      </w:pPr>
      <w:r>
        <w:rPr>
          <w:rFonts w:ascii="Arial" w:cs="Arial" w:eastAsia="Arial" w:hAnsi="Arial"/>
          <w:i/>
          <w:iCs/>
          <w:color w:val="0D8C75"/>
          <w:sz w:val="32"/>
          <w:szCs w:val="32"/>
        </w:rPr>
        <w:t xml:space="preserve">Script de Présentation</w:t>
      </w:r>
    </w:p>
    <w:p>
      <w:pPr>
        <w:spacing w:after="160" w:before="0"/>
        <w:jc w:val="center"/>
      </w:pPr>
      <w:r>
        <w:rPr>
          <w:rFonts w:ascii="Arial" w:cs="Arial" w:eastAsia="Arial" w:hAnsi="Arial"/>
          <w:color w:val="64748B"/>
          <w:sz w:val="24"/>
          <w:szCs w:val="24"/>
        </w:rPr>
        <w:t xml:space="preserve">Durée totale estimée : 20 minutes +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r>
    </w:tbl>
    <w:p>
      <w:pPr>
        <w:spacing w:after="200"/>
      </w:pPr>
    </w:p>
    <w:p>
      <w:pPr>
        <w:spacing w:after="120" w:before="200"/>
        <w:jc w:val="left"/>
      </w:pPr>
      <w:r>
        <w:rPr>
          <w:rFonts w:ascii="Arial" w:cs="Arial" w:eastAsia="Arial" w:hAnsi="Arial"/>
          <w:b/>
          <w:bCs/>
          <w:i w:val="false"/>
          <w:iCs w:val="false"/>
          <w:color w:val="0D1B2A"/>
          <w:sz w:val="24"/>
          <w:szCs w:val="24"/>
        </w:rPr>
        <w:t xml:space="preserve">Comment utiliser ce script</w:t>
      </w:r>
    </w:p>
    <w:p>
      <w:pPr>
        <w:spacing w:after="100" w:before="0"/>
        <w:jc w:val="left"/>
      </w:pPr>
      <w:r>
        <w:rPr>
          <w:rFonts w:ascii="Arial" w:cs="Arial" w:eastAsia="Arial" w:hAnsi="Arial"/>
          <w:b w:val="false"/>
          <w:bCs w:val="false"/>
          <w:i w:val="false"/>
          <w:iCs w:val="false"/>
          <w:color w:val="24292F"/>
          <w:sz w:val="22"/>
          <w:szCs w:val="22"/>
        </w:rPr>
        <w:t xml:space="preserve">Ce document est un guide pour vous aider à présenter le ClamAV Operator à votre équipe. Pour chaque slide, vous trouverez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7DE" w:sz="1"/>
              <w:left w:val="single" w:color="D0D7DE" w:sz="1"/>
              <w:bottom w:val="single" w:color="D0D7DE" w:sz="1"/>
              <w:right w:val="single" w:color="D0D7DE" w:sz="1"/>
            </w:tcBorders>
            <w:shd w:fill="E0F2FE" w:val="clear"/>
            <w:tcMar>
              <w:top w:type="dxa" w:w="80"/>
              <w:left w:type="dxa" w:w="120"/>
              <w:bottom w:type="dxa" w:w="80"/>
              <w:right w:type="dxa" w:w="120"/>
            </w:tcMar>
          </w:tcPr>
          <w:p>
            <w:r>
              <w:rPr>
                <w:rFonts w:ascii="Arial" w:cs="Arial" w:eastAsia="Arial" w:hAnsi="Arial"/>
                <w:b/>
                <w:bCs/>
                <w:color w:val="0369A1"/>
                <w:sz w:val="20"/>
                <w:szCs w:val="20"/>
              </w:rPr>
              <w:t xml:space="preserve">Fond bleu</w:t>
            </w:r>
          </w:p>
        </w:tc>
        <w:tc>
          <w:tcPr>
            <w:tcW w:type="dxa" w:w="79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Le texte à dire (ou à adapter selon votre style)</w:t>
            </w:r>
          </w:p>
        </w:tc>
      </w:tr>
      <w:tr>
        <w:tc>
          <w:tcPr>
            <w:tcW w:type="dxa" w:w="1440"/>
            <w:tcBorders>
              <w:top w:val="single" w:color="D0D7DE" w:sz="1"/>
              <w:left w:val="single" w:color="D0D7DE" w:sz="1"/>
              <w:bottom w:val="single" w:color="D0D7DE" w:sz="1"/>
              <w:right w:val="single" w:color="D0D7DE" w:sz="1"/>
            </w:tcBorders>
            <w:shd w:fill="E0F2FE" w:val="clear"/>
            <w:tcMar>
              <w:top w:type="dxa" w:w="80"/>
              <w:left w:type="dxa" w:w="120"/>
              <w:bottom w:type="dxa" w:w="80"/>
              <w:right w:type="dxa" w:w="120"/>
            </w:tcMar>
          </w:tcPr>
          <w:p>
            <w:r>
              <w:rPr>
                <w:rFonts w:ascii="Arial" w:cs="Arial" w:eastAsia="Arial" w:hAnsi="Arial"/>
                <w:b/>
                <w:bCs/>
                <w:color w:val="0369A1"/>
                <w:sz w:val="20"/>
                <w:szCs w:val="20"/>
              </w:rPr>
              <w:t xml:space="preserve">Fond violet</w:t>
            </w:r>
          </w:p>
        </w:tc>
        <w:tc>
          <w:tcPr>
            <w:tcW w:type="dxa" w:w="79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Les notes et conseils de présentation</w:t>
            </w:r>
          </w:p>
        </w:tc>
      </w:tr>
      <w:tr>
        <w:tc>
          <w:tcPr>
            <w:tcW w:type="dxa" w:w="1440"/>
            <w:tcBorders>
              <w:top w:val="single" w:color="D0D7DE" w:sz="1"/>
              <w:left w:val="single" w:color="D0D7DE" w:sz="1"/>
              <w:bottom w:val="single" w:color="D0D7DE" w:sz="1"/>
              <w:right w:val="single" w:color="D0D7DE" w:sz="1"/>
            </w:tcBorders>
            <w:shd w:fill="E0F2FE" w:val="clear"/>
            <w:tcMar>
              <w:top w:type="dxa" w:w="80"/>
              <w:left w:type="dxa" w:w="120"/>
              <w:bottom w:type="dxa" w:w="80"/>
              <w:right w:type="dxa" w:w="120"/>
            </w:tcMar>
          </w:tcPr>
          <w:p>
            <w:r>
              <w:rPr>
                <w:rFonts w:ascii="Arial" w:cs="Arial" w:eastAsia="Arial" w:hAnsi="Arial"/>
                <w:b/>
                <w:bCs/>
                <w:color w:val="0369A1"/>
                <w:sz w:val="20"/>
                <w:szCs w:val="20"/>
              </w:rPr>
              <w:t xml:space="preserve">Fond vert</w:t>
            </w:r>
          </w:p>
        </w:tc>
        <w:tc>
          <w:tcPr>
            <w:tcW w:type="dxa" w:w="79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24292F"/>
                <w:sz w:val="20"/>
                <w:szCs w:val="20"/>
              </w:rPr>
              <w:t xml:space="preserve">La phrase de transition vers le slide suivant</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1</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Title — ClamAV Operator</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1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Bonjour à tous. Je vous présente aujourd'hui le ClamAV Operator — un opérateur Kubernetes que j'ai développé pour automatiser le scan antivirus de nos clusters.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En quelques mots : l'opérateur permet de détecter des malwares et fichiers infectés sur chacun de nos nœuds Kubernetes, de façon automatique, planifiée, et avec une observabilité complète via Prometheus.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La présentation va durer environ 20 minutes, suivie de questions. Je vais vous montrer pourquoi on en avait besoin, comment il fonctionne, et comment on le déploie.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Sourire, regarder l'équipe, poser la voix.</w:t>
            </w:r>
          </w:p>
          <w:p>
            <w:pPr>
              <w:pStyle w:val="ListParagraph"/>
              <w:numPr>
                <w:ilvl w:val="0"/>
                <w:numId w:val="2"/>
              </w:numPr>
              <w:spacing w:after="80" w:before="0"/>
            </w:pPr>
            <w:r>
              <w:rPr>
                <w:rFonts w:ascii="Arial" w:cs="Arial" w:eastAsia="Arial" w:hAnsi="Arial"/>
                <w:i/>
                <w:iCs/>
                <w:color w:val="4B5563"/>
                <w:sz w:val="20"/>
                <w:szCs w:val="20"/>
              </w:rPr>
              <w:t xml:space="preserve">Si c'est votre première présentation technique, commencez par rappeler le contexte métier qui a motivé ce projet.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00C9A7" w:sz="6"/>
              <w:bottom w:val="single" w:color="D0D7DE" w:sz="1"/>
              <w:right w:val="single" w:color="D0D7DE" w:sz="1"/>
            </w:tcBorders>
            <w:shd w:fill="E6FDF8" w:val="clear"/>
            <w:tcMar>
              <w:top w:type="dxa" w:w="120"/>
              <w:left w:type="dxa" w:w="240"/>
              <w:bottom w:type="dxa" w:w="120"/>
              <w:right w:type="dxa" w:w="240"/>
            </w:tcMar>
          </w:tcPr>
          <w:p>
            <w:r>
              <w:rPr>
                <w:rFonts w:ascii="Arial" w:cs="Arial" w:eastAsia="Arial" w:hAnsi="Arial"/>
                <w:b/>
                <w:bCs/>
                <w:color w:val="0D8C75"/>
                <w:sz w:val="20"/>
                <w:szCs w:val="20"/>
              </w:rPr>
              <w:t xml:space="preserve">TRANSITION  </w:t>
            </w:r>
            <w:r>
              <w:rPr>
                <w:rFonts w:ascii="Arial" w:cs="Arial" w:eastAsia="Arial" w:hAnsi="Arial"/>
                <w:i/>
                <w:iCs/>
                <w:color w:val="0D8C75"/>
                <w:sz w:val="20"/>
                <w:szCs w:val="20"/>
              </w:rPr>
              <w:t xml:space="preserve">Passons maintenant au problème concret que cet opérateur résout.</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2</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Le Problème</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Commençons par le problème qu'on cherche à résoudre.</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ClamAV est un outil antivirus open-source éprouvé — mais il n'est pas pensé pour Kubernetes. Quand on veut l'intégrer dans un cluster, on se retrouve face à quatre problèmes majeurs.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Premier problème : pas d'intégration native. Il n'y a pas de concept de CRD, de scheduling ou d'orchestration. On doit tout câbler à la main.</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Deuxième problème : les scans manuels ne passent pas à l'échelle. Lancer clamscan nœud par nœud via un script bash, ça marche pour 5 nœuds — pas pour 50.</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Troisième problème : zéro observabilité. Pas de métriques Prometheus, pas d'alertes, pas d'historique centralisé. Si une infection a eu lieu hier, on ne le sait pas.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Quatrième problème : les scans complets sont coûteux. Rescanner tous les fichiers à chaque fois consomme du CPU et du temps inutilement — surtout si 95% des fichiers n'ont pas changé depuis le dernier scan.</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C'est pour répondre à ces quatre problèmes que l'opérateur a été conçu.</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Pointer chaque carte du slide en les nommant.</w:t>
            </w:r>
          </w:p>
          <w:p>
            <w:pPr>
              <w:pStyle w:val="ListParagraph"/>
              <w:numPr>
                <w:ilvl w:val="0"/>
                <w:numId w:val="2"/>
              </w:numPr>
              <w:spacing w:after="80" w:before="0"/>
            </w:pPr>
            <w:r>
              <w:rPr>
                <w:rFonts w:ascii="Arial" w:cs="Arial" w:eastAsia="Arial" w:hAnsi="Arial"/>
                <w:i/>
                <w:iCs/>
                <w:color w:val="4B5563"/>
                <w:sz w:val="20"/>
                <w:szCs w:val="20"/>
              </w:rPr>
              <w:t xml:space="preserve">Ancrer dans le réel : mentionner un incident ou une situation concrète que l'équipe a vécue si possible.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00C9A7" w:sz="6"/>
              <w:bottom w:val="single" w:color="D0D7DE" w:sz="1"/>
              <w:right w:val="single" w:color="D0D7DE" w:sz="1"/>
            </w:tcBorders>
            <w:shd w:fill="E6FDF8" w:val="clear"/>
            <w:tcMar>
              <w:top w:type="dxa" w:w="120"/>
              <w:left w:type="dxa" w:w="240"/>
              <w:bottom w:type="dxa" w:w="120"/>
              <w:right w:type="dxa" w:w="240"/>
            </w:tcMar>
          </w:tcPr>
          <w:p>
            <w:r>
              <w:rPr>
                <w:rFonts w:ascii="Arial" w:cs="Arial" w:eastAsia="Arial" w:hAnsi="Arial"/>
                <w:b/>
                <w:bCs/>
                <w:color w:val="0D8C75"/>
                <w:sz w:val="20"/>
                <w:szCs w:val="20"/>
              </w:rPr>
              <w:t xml:space="preserve">TRANSITION  </w:t>
            </w:r>
            <w:r>
              <w:rPr>
                <w:rFonts w:ascii="Arial" w:cs="Arial" w:eastAsia="Arial" w:hAnsi="Arial"/>
                <w:i/>
                <w:iCs/>
                <w:color w:val="0D8C75"/>
                <w:sz w:val="20"/>
                <w:szCs w:val="20"/>
              </w:rPr>
              <w:t xml:space="preserve">Voyons comment tout cela s'organise architecturalement.</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3</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Architecture</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Voici l'architecture globale. Il y a trois composants principaux.</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À gauche, l'Operator Go. C'est le cerveau du système — il tourne en tant que Deployment dans le cluster et orchestre tout. Il contient trois contrôleurs : NodeScan, ClusterScan, et ScanSchedule. Il embarque aussi la validation webhook pour rejeter les ressources mal configurées.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Au centre, les 5 Custom Resource Definitions — les CRDs. Ce sont les abstractions Kubernetes qu'on expose aux utilisateurs. On les voit en détail sur le slide suivant.</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À droite, le Scanner Node.js. C'est lui qui fait le travail réel : il tourne en tant que Job Kubernetes sur chaque nœud à scanner, exécute clamscan, et remonte les résultats au contrôleur.</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Les flèches montrent le flux : l'Operator crée les Jobs scanner, qui lisent les CRDs de configuration et mettent à jour le statut des CRDs de résultat.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Insister sur la séparation de responsabilités : l'Operator décide, le Scanner exécute.</w:t>
            </w:r>
          </w:p>
          <w:p>
            <w:pPr>
              <w:pStyle w:val="ListParagraph"/>
              <w:numPr>
                <w:ilvl w:val="0"/>
                <w:numId w:val="2"/>
              </w:numPr>
              <w:spacing w:after="80" w:before="0"/>
            </w:pPr>
            <w:r>
              <w:rPr>
                <w:rFonts w:ascii="Arial" w:cs="Arial" w:eastAsia="Arial" w:hAnsi="Arial"/>
                <w:i/>
                <w:iCs/>
                <w:color w:val="4B5563"/>
                <w:sz w:val="20"/>
                <w:szCs w:val="20"/>
              </w:rPr>
              <w:t xml:space="preserve">Si des questions arrivent sur la techno Go ou Node.js, expliquer : Go pour le control plane (performance, libs Kubernetes), Node.js pour le scanner (légèreté, facilité de test).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00C9A7" w:sz="6"/>
              <w:bottom w:val="single" w:color="D0D7DE" w:sz="1"/>
              <w:right w:val="single" w:color="D0D7DE" w:sz="1"/>
            </w:tcBorders>
            <w:shd w:fill="E6FDF8" w:val="clear"/>
            <w:tcMar>
              <w:top w:type="dxa" w:w="120"/>
              <w:left w:type="dxa" w:w="240"/>
              <w:bottom w:type="dxa" w:w="120"/>
              <w:right w:type="dxa" w:w="240"/>
            </w:tcMar>
          </w:tcPr>
          <w:p>
            <w:r>
              <w:rPr>
                <w:rFonts w:ascii="Arial" w:cs="Arial" w:eastAsia="Arial" w:hAnsi="Arial"/>
                <w:b/>
                <w:bCs/>
                <w:color w:val="0D8C75"/>
                <w:sz w:val="20"/>
                <w:szCs w:val="20"/>
              </w:rPr>
              <w:t xml:space="preserve">TRANSITION  </w:t>
            </w:r>
            <w:r>
              <w:rPr>
                <w:rFonts w:ascii="Arial" w:cs="Arial" w:eastAsia="Arial" w:hAnsi="Arial"/>
                <w:i/>
                <w:iCs/>
                <w:color w:val="0D8C75"/>
                <w:sz w:val="20"/>
                <w:szCs w:val="20"/>
              </w:rPr>
              <w:t xml:space="preserve">Ces trois composants s'appuient sur 5 types de ressources Kubernetes — les CRDs.</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4</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5 Custom Resource Definitions</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L'opérateur expose 5 types de ressources Kubernetes — les CRDs.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NodeScan : c'est la ressource de base. On la crée pour scanner un nœud spécifique. L'opérateur reçoit l'événement et crée un Job scanner sur ce nœud.</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ClusterScan : permet de scanner l'ensemble du cluster — ou un sous-ensemble via un nodeSelector. L'opérateur crée automatiquement des NodeScans pour chaque nœud concerné et les orchestre en parallèle.</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ScanPolicy : la configuration réutilisable. On y définit les chemins à scanner, les exclusions, les ressources CPU/mémoire, les notifications Slack ou email. Une ScanPolicy peut être référencée par n'importe quel NodeScan ou ClusterScan.</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ScanSchedule : la planification cron. On configure une expression cron et l'opérateur déclenchera automatiquement des ClusterScans selon ce calendrier. Supporte le mode suspendu et la politique de concurrence.</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Enfin, ScanCacheResource : c'est la ressource interne de cache incrémental. Elle stocke pour chaque nœud les métadonnées des fichiers scannés — mtime, taille, résultat — pour éviter de rescanner ce qui n'a pas changé.</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Montrer un exemple YAML simple si les questions arrivent — les samples sont dans config/samples/.</w:t>
            </w:r>
          </w:p>
          <w:p>
            <w:pPr>
              <w:pStyle w:val="ListParagraph"/>
              <w:numPr>
                <w:ilvl w:val="0"/>
                <w:numId w:val="2"/>
              </w:numPr>
              <w:spacing w:after="80" w:before="0"/>
            </w:pPr>
            <w:r>
              <w:rPr>
                <w:rFonts w:ascii="Arial" w:cs="Arial" w:eastAsia="Arial" w:hAnsi="Arial"/>
                <w:i/>
                <w:iCs/>
                <w:color w:val="4B5563"/>
                <w:sz w:val="20"/>
                <w:szCs w:val="20"/>
              </w:rPr>
              <w:t xml:space="preserve">Le workflow utilisateur typique : créer une ScanPolicy → créer un ScanSchedule qui la référence → tout se fait automatiquement.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00C9A7" w:sz="6"/>
              <w:bottom w:val="single" w:color="D0D7DE" w:sz="1"/>
              <w:right w:val="single" w:color="D0D7DE" w:sz="1"/>
            </w:tcBorders>
            <w:shd w:fill="E6FDF8" w:val="clear"/>
            <w:tcMar>
              <w:top w:type="dxa" w:w="120"/>
              <w:left w:type="dxa" w:w="240"/>
              <w:bottom w:type="dxa" w:w="120"/>
              <w:right w:type="dxa" w:w="240"/>
            </w:tcMar>
          </w:tcPr>
          <w:p>
            <w:r>
              <w:rPr>
                <w:rFonts w:ascii="Arial" w:cs="Arial" w:eastAsia="Arial" w:hAnsi="Arial"/>
                <w:b/>
                <w:bCs/>
                <w:color w:val="0D8C75"/>
                <w:sz w:val="20"/>
                <w:szCs w:val="20"/>
              </w:rPr>
              <w:t xml:space="preserve">TRANSITION  </w:t>
            </w:r>
            <w:r>
              <w:rPr>
                <w:rFonts w:ascii="Arial" w:cs="Arial" w:eastAsia="Arial" w:hAnsi="Arial"/>
                <w:i/>
                <w:iCs/>
                <w:color w:val="0D8C75"/>
                <w:sz w:val="20"/>
                <w:szCs w:val="20"/>
              </w:rPr>
              <w:t xml:space="preserve">Ces CRDs permettent de configurer deux modes de scan très différents.</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5</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Modes de Scan</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L'opérateur supporte deux modes de scan.</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Le mode standalone — c'est le mode recommandé et le défaut. Le scanner embarque directement clamscan et les signatures ClamAV dans son image Docker. Aucune dépendance réseau externe. Chaque nœud scanne localement. On peut configurer un CronJob freshclam pour mettre à jour les signatures automatiquement toutes les 6 heures. Et pour les environnements air-gap sans accès internet, une variante de l'image est disponible avec les signatures pré-téléchargées.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Le mode remote — c'est le mode legacy, pour les équipes qui ont déjà un service clamd centralisé dans leur cluster. Le scanner se connecte à ce service via TCP. L'image scanner est plus légère car elle n'embarque pas les signatures, mais elle dépend de la disponibilité du service clamd.</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Pour 99% des cas d'usage, standalone est la bonne option. Remote n'existe que pour la rétrocompatibilité.</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Si la question sur l'air-gap arrive : l'image -airgap est buildée avec DOWNLOAD_SIGS=false dans le Dockerfile, signatures téléchargées au build time et non à l'exécution.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00C9A7" w:sz="6"/>
              <w:bottom w:val="single" w:color="D0D7DE" w:sz="1"/>
              <w:right w:val="single" w:color="D0D7DE" w:sz="1"/>
            </w:tcBorders>
            <w:shd w:fill="E6FDF8" w:val="clear"/>
            <w:tcMar>
              <w:top w:type="dxa" w:w="120"/>
              <w:left w:type="dxa" w:w="240"/>
              <w:bottom w:type="dxa" w:w="120"/>
              <w:right w:type="dxa" w:w="240"/>
            </w:tcMar>
          </w:tcPr>
          <w:p>
            <w:r>
              <w:rPr>
                <w:rFonts w:ascii="Arial" w:cs="Arial" w:eastAsia="Arial" w:hAnsi="Arial"/>
                <w:b/>
                <w:bCs/>
                <w:color w:val="0D8C75"/>
                <w:sz w:val="20"/>
                <w:szCs w:val="20"/>
              </w:rPr>
              <w:t xml:space="preserve">TRANSITION  </w:t>
            </w:r>
            <w:r>
              <w:rPr>
                <w:rFonts w:ascii="Arial" w:cs="Arial" w:eastAsia="Arial" w:hAnsi="Arial"/>
                <w:i/>
                <w:iCs/>
                <w:color w:val="0D8C75"/>
                <w:sz w:val="20"/>
                <w:szCs w:val="20"/>
              </w:rPr>
              <w:t xml:space="preserve">Parlons maintenant d'une fonctionnalité qui fait vraiment la différence en production : le scan incrémental.</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6</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Scan Incrémental</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3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Une des fonctionnalités clés de l'opérateur : le scan incrémental. L'objectif est simple — éviter de rescanner ce qui n'a pas changé depuis le dernier passage.</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Il y a trois stratégies disponibles.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Full : on scanne tout à chaque fois. Simple, fiable, mais coûteux.</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Incremental : on scanne uniquement les fichiers nouveaux ou modifiés depuis le dernier scan. La détection de changement se fait par mtime et taille. Un cache JSON est maintenu par nœud.</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Smart — c'est la stratégie par défaut. Elle combine les deux : des scans incrémentaux pour les runs quotidiens, et un scan full forcé tous les N runs — configurable via fullScanInterval. Cela garantit qu'on ne passe jamais trop longtemps sans un scan exhaustif.</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Comment ça marche concrètement : à chaque run, le scanner charge le cache du nœud. Pour chaque fichier, shouldScanFile() décide s'il faut le scanner — est-il nouveau ? modifié ? son dernier scan date de plus de maxFileAgeHours ? Si oui, ClamAV le scanne. Sinon, il est sauté. Le cache est mis à jour avec le résultat, et un rapport JSON et TXT est écrit pour le contrôleur.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Mettre en avant le gain de performance : sur un nœud avec 100k fichiers dont 2% changent par jour, on passe de 100k scans à 2000 scans. Gain CPU et temps x50.</w:t>
            </w:r>
          </w:p>
          <w:p>
            <w:pPr>
              <w:pStyle w:val="ListParagraph"/>
              <w:numPr>
                <w:ilvl w:val="0"/>
                <w:numId w:val="2"/>
              </w:numPr>
              <w:spacing w:after="80" w:before="0"/>
            </w:pPr>
            <w:r>
              <w:rPr>
                <w:rFonts w:ascii="Arial" w:cs="Arial" w:eastAsia="Arial" w:hAnsi="Arial"/>
                <w:i/>
                <w:iCs/>
                <w:color w:val="4B5563"/>
                <w:sz w:val="20"/>
                <w:szCs w:val="20"/>
              </w:rPr>
              <w:t xml:space="preserve">Si la question sur la sécurité arrive : maxFileAgeHours garantit que même les fichiers non modifiés sont re-scannés périodiquement.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00C9A7" w:sz="6"/>
              <w:bottom w:val="single" w:color="D0D7DE" w:sz="1"/>
              <w:right w:val="single" w:color="D0D7DE" w:sz="1"/>
            </w:tcBorders>
            <w:shd w:fill="E6FDF8" w:val="clear"/>
            <w:tcMar>
              <w:top w:type="dxa" w:w="120"/>
              <w:left w:type="dxa" w:w="240"/>
              <w:bottom w:type="dxa" w:w="120"/>
              <w:right w:type="dxa" w:w="240"/>
            </w:tcMar>
          </w:tcPr>
          <w:p>
            <w:r>
              <w:rPr>
                <w:rFonts w:ascii="Arial" w:cs="Arial" w:eastAsia="Arial" w:hAnsi="Arial"/>
                <w:b/>
                <w:bCs/>
                <w:color w:val="0D8C75"/>
                <w:sz w:val="20"/>
                <w:szCs w:val="20"/>
              </w:rPr>
              <w:t xml:space="preserve">TRANSITION  </w:t>
            </w:r>
            <w:r>
              <w:rPr>
                <w:rFonts w:ascii="Arial" w:cs="Arial" w:eastAsia="Arial" w:hAnsi="Arial"/>
                <w:i/>
                <w:iCs/>
                <w:color w:val="0D8C75"/>
                <w:sz w:val="20"/>
                <w:szCs w:val="20"/>
              </w:rPr>
              <w:t xml:space="preserve">Maintenant que vous voyez ce que l'opérateur fait, voyons comment on le déploie.</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7</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Déploiement Helm</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Le déploiement est pensé pour être simple. Une seule commande helm install suffit pour avoir tout en place : l'opérateur, les 5 CRDs, le RBAC, la ScanPolicy par défaut, et le CronJob freshclam.</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Du côté des CRDs et du RBAC : les CRDs sont installés automatiquement. Avec crds.keep à true — c'est la valeur par défaut — ils ne seront pas supprimés en cas de helm uninstall, ce qui protège les données de scan. Le RBAC est configuré en least-privilege : le scanner n'a que les droits strictement nécessaires pour lire les nœuds et mettre à jour le statut de ses NodeScans.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L'observabilité est activable en un flag : monitoring.serviceMonitor.enabled=true crée le ServiceMonitor pour Prometheus, et monitoring.prometheusRule.enabled=true crée les alertes pré-configurées.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Côté sécurité : l'image operator est distroless et tourne en non-root. Une variante scanner -airgap est disponible. La NetworkPolicy est optionnelle mais disponible pour les environnements stricts.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Et pour valider que tout fonctionne après le déploiement, un simple helm test lance des checks sur les endpoints healthz, readyz et metrics.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Montrer values.yaml si l'équipe veut voir les options disponibles.</w:t>
            </w:r>
          </w:p>
          <w:p>
            <w:pPr>
              <w:pStyle w:val="ListParagraph"/>
              <w:numPr>
                <w:ilvl w:val="0"/>
                <w:numId w:val="2"/>
              </w:numPr>
              <w:spacing w:after="80" w:before="0"/>
            </w:pPr>
            <w:r>
              <w:rPr>
                <w:rFonts w:ascii="Arial" w:cs="Arial" w:eastAsia="Arial" w:hAnsi="Arial"/>
                <w:i/>
                <w:iCs/>
                <w:color w:val="4B5563"/>
                <w:sz w:val="20"/>
                <w:szCs w:val="20"/>
              </w:rPr>
              <w:t xml:space="preserve">Le chart est dans helm/clamav-operator/ — version 1.1.0, appVersion 0.1.0.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00C9A7" w:sz="6"/>
              <w:bottom w:val="single" w:color="D0D7DE" w:sz="1"/>
              <w:right w:val="single" w:color="D0D7DE" w:sz="1"/>
            </w:tcBorders>
            <w:shd w:fill="E6FDF8" w:val="clear"/>
            <w:tcMar>
              <w:top w:type="dxa" w:w="120"/>
              <w:left w:type="dxa" w:w="240"/>
              <w:bottom w:type="dxa" w:w="120"/>
              <w:right w:type="dxa" w:w="240"/>
            </w:tcMar>
          </w:tcPr>
          <w:p>
            <w:r>
              <w:rPr>
                <w:rFonts w:ascii="Arial" w:cs="Arial" w:eastAsia="Arial" w:hAnsi="Arial"/>
                <w:b/>
                <w:bCs/>
                <w:color w:val="0D8C75"/>
                <w:sz w:val="20"/>
                <w:szCs w:val="20"/>
              </w:rPr>
              <w:t xml:space="preserve">TRANSITION  </w:t>
            </w:r>
            <w:r>
              <w:rPr>
                <w:rFonts w:ascii="Arial" w:cs="Arial" w:eastAsia="Arial" w:hAnsi="Arial"/>
                <w:i/>
                <w:iCs/>
                <w:color w:val="0D8C75"/>
                <w:sz w:val="20"/>
                <w:szCs w:val="20"/>
              </w:rPr>
              <w:t xml:space="preserve">Avec tout ça en place, comment est-ce qu'on sait si quelque chose se passe ? Parlons monitoring.</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8</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Monitoring &amp; Alertes</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L'opérateur expose une suite complète de métriques Prometheus avec le préfixe clamav_.</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Les quatre métriques principales : clamav_nodescan_running indique les scans en cours en temps réel. clamav_files_scanned_total compte le nombre total de fichiers scannés. clamav_files_infected_total — c'est la métrique critique — compte les infections détectées. Et clamav_scan_duration_seconds permet de suivre les performances dans le temps.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En plus de ces métriques de base, le scanner expose des métriques incrémentales : combien de fichiers ont été sautés, quelle stratégie a été utilisée, le taux de fichiers nouveaux vs modifiés. Ça permet d'optimiser la configuration au fil du temps.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Côté alertes : trois règles PrometheusRule sont pré-configurées. ClamAVMalwareDetected — critique — se déclenche dès qu'une infection est détectée. ClamAVScanFailed — warning — si un scan échoue. Et ClamAVNoRecentScans — warning — si aucun scan n'a été complété depuis 24 heures, ce qui peut indiquer un problème avec le scheduler.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Ces alertes sont configurables dans values.yaml — expressions PromQL, sévérité, labels d'équipe.</w:t>
            </w:r>
          </w:p>
          <w:p>
            <w:pPr>
              <w:pStyle w:val="ListParagraph"/>
              <w:numPr>
                <w:ilvl w:val="0"/>
                <w:numId w:val="2"/>
              </w:numPr>
              <w:spacing w:after="80" w:before="0"/>
            </w:pPr>
            <w:r>
              <w:rPr>
                <w:rFonts w:ascii="Arial" w:cs="Arial" w:eastAsia="Arial" w:hAnsi="Arial"/>
                <w:i/>
                <w:iCs/>
                <w:color w:val="4B5563"/>
                <w:sz w:val="20"/>
                <w:szCs w:val="20"/>
              </w:rPr>
              <w:t xml:space="preserve">Un dashboard Grafana peut être construit facilement à partir de ces métriques — l'équipe peut s'en charger pour la prochaine étape.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00C9A7" w:sz="6"/>
              <w:bottom w:val="single" w:color="D0D7DE" w:sz="1"/>
              <w:right w:val="single" w:color="D0D7DE" w:sz="1"/>
            </w:tcBorders>
            <w:shd w:fill="E6FDF8" w:val="clear"/>
            <w:tcMar>
              <w:top w:type="dxa" w:w="120"/>
              <w:left w:type="dxa" w:w="240"/>
              <w:bottom w:type="dxa" w:w="120"/>
              <w:right w:type="dxa" w:w="240"/>
            </w:tcMar>
          </w:tcPr>
          <w:p>
            <w:r>
              <w:rPr>
                <w:rFonts w:ascii="Arial" w:cs="Arial" w:eastAsia="Arial" w:hAnsi="Arial"/>
                <w:b/>
                <w:bCs/>
                <w:color w:val="0D8C75"/>
                <w:sz w:val="20"/>
                <w:szCs w:val="20"/>
              </w:rPr>
              <w:t xml:space="preserve">TRANSITION  </w:t>
            </w:r>
            <w:r>
              <w:rPr>
                <w:rFonts w:ascii="Arial" w:cs="Arial" w:eastAsia="Arial" w:hAnsi="Arial"/>
                <w:i/>
                <w:iCs/>
                <w:color w:val="0D8C75"/>
                <w:sz w:val="20"/>
                <w:szCs w:val="20"/>
              </w:rPr>
              <w:t xml:space="preserve">Et pour garantir la qualité dans le temps, voici notre setup CI/CD.</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9</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CI/CD &amp; Qualité</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Le projet est couvert par 5 workflows GitHub Actions.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test.yml — le workflow principal de qualité. Il lance Go vet, les tests Go, golangci-lint avec 24 linters actifs, le lint Helm en 3 variantes, et les 40 tests Node.js du scanner. Tout ça tourne sur chaque PR.</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docker-build.yml — build les deux images Docker, operator et scanner, en multi-architecture : amd64 et arm64. Il pousse vers GHCR et lance un scan de sécurité Trivy dont les résultats remontent en SARIF dans l'onglet Security de GitHub.</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release.yml — gère les releases sémantiques automatiquement. À partir d'un tag v*, il génère le CHANGELOG, crée le dist/install.yaml pour l'installation sans Helm, et déclenche le build des images de release.</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commit-validation.yml enforce les Conventional Commits sur chaque PR, et dependabot-automerge gère le merge automatique des mises à jour de dépendances.</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En chiffres : 40 tests Node.js passent à 100%, 2 architectures supportées, et la sécurité est scannée automatiquement à chaque build.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Pour lancer les tests localement : cd scanner &amp;&amp; npm test pour Node.js, go test ./... pour Go.</w:t>
            </w:r>
          </w:p>
          <w:p>
            <w:pPr>
              <w:pStyle w:val="ListParagraph"/>
              <w:numPr>
                <w:ilvl w:val="0"/>
                <w:numId w:val="2"/>
              </w:numPr>
              <w:spacing w:after="80" w:before="0"/>
            </w:pPr>
            <w:r>
              <w:rPr>
                <w:rFonts w:ascii="Arial" w:cs="Arial" w:eastAsia="Arial" w:hAnsi="Arial"/>
                <w:i/>
                <w:iCs/>
                <w:color w:val="4B5563"/>
                <w:sz w:val="20"/>
                <w:szCs w:val="20"/>
              </w:rPr>
              <w:t xml:space="preserve">golangci-lint est configuré dans .golangci.yml à la racine.</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0D7DE" w:sz="1"/>
              <w:left w:val="single" w:color="D0D7DE" w:sz="1"/>
              <w:bottom w:val="single" w:color="D0D7DE" w:sz="1"/>
              <w:right w:val="single" w:color="D0D7DE"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00C9A7"/>
                <w:sz w:val="22"/>
                <w:szCs w:val="22"/>
              </w:rPr>
              <w:t xml:space="preserve">Slide 10</w:t>
            </w:r>
          </w:p>
        </w:tc>
        <w:tc>
          <w:tcPr>
            <w:tcW w:type="dxa" w:w="6660"/>
            <w:tcBorders>
              <w:top w:val="single" w:color="D0D7DE" w:sz="1"/>
              <w:left w:val="single" w:color="D0D7DE" w:sz="1"/>
              <w:bottom w:val="single" w:color="D0D7DE" w:sz="1"/>
              <w:right w:val="single" w:color="D0D7DE" w:sz="1"/>
            </w:tcBorders>
            <w:shd w:fill="1B2A3E" w:val="clear"/>
            <w:tcMar>
              <w:top w:type="dxa" w:w="120"/>
              <w:left w:type="dxa" w:w="200"/>
              <w:bottom w:type="dxa" w:w="120"/>
              <w:right w:type="dxa" w:w="120"/>
            </w:tcMar>
            <w:vAlign w:val="center"/>
          </w:tcPr>
          <w:p>
            <w:r>
              <w:rPr>
                <w:rFonts w:ascii="Arial" w:cs="Arial" w:eastAsia="Arial" w:hAnsi="Arial"/>
                <w:b/>
                <w:bCs/>
                <w:color w:val="FFFFFF"/>
                <w:sz w:val="26"/>
                <w:szCs w:val="26"/>
              </w:rPr>
              <w:t xml:space="preserve">Production Ready — Conclusion</w:t>
            </w:r>
          </w:p>
        </w:tc>
        <w:tc>
          <w:tcPr>
            <w:tcW w:type="dxa" w:w="1800"/>
            <w:tcBorders>
              <w:top w:val="single" w:color="D0D7DE" w:sz="1"/>
              <w:left w:val="single" w:color="D0D7DE" w:sz="1"/>
              <w:bottom w:val="single" w:color="D0D7DE" w:sz="1"/>
              <w:right w:val="single" w:color="D0D7DE" w:sz="1"/>
            </w:tcBorders>
            <w:shd w:fill="243447" w:val="clear"/>
            <w:tcMar>
              <w:top w:type="dxa" w:w="120"/>
              <w:left w:type="dxa" w:w="120"/>
              <w:bottom w:type="dxa" w:w="120"/>
              <w:right w:type="dxa" w:w="120"/>
            </w:tcMar>
            <w:vAlign w:val="center"/>
          </w:tcPr>
          <w:p>
            <w:pPr>
              <w:jc w:val="center"/>
            </w:pPr>
            <w:r>
              <w:rPr>
                <w:rFonts w:ascii="Arial" w:cs="Arial" w:eastAsia="Arial" w:hAnsi="Arial"/>
                <w:color w:val="00C9A7"/>
                <w:sz w:val="20"/>
                <w:szCs w:val="20"/>
              </w:rPr>
              <w:t xml:space="preserve">⏱ 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0F9FF" w:val="clear"/>
            <w:tcMar>
              <w:top w:type="dxa" w:w="160"/>
              <w:left w:type="dxa" w:w="240"/>
              <w:bottom w:type="dxa" w:w="160"/>
              <w:right w:type="dxa" w:w="240"/>
            </w:tcMar>
          </w:tcPr>
          <w:p>
            <w:pPr>
              <w:spacing w:after="100" w:before="0"/>
            </w:pPr>
            <w:r>
              <w:rPr>
                <w:rFonts w:ascii="Arial" w:cs="Arial" w:eastAsia="Arial" w:hAnsi="Arial"/>
                <w:color w:val="24292F"/>
                <w:sz w:val="22"/>
                <w:szCs w:val="22"/>
              </w:rPr>
              <w:t xml:space="preserve">Pour résumer, voici ce qui est en place et prêt à déployer.</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Côté code et architecture : 5 CRDs avec validation webhook, 3 contrôleurs Go, le scan incrémental smart, le Helm chart v1.1.0 complet. Le Dockerfile a été corrigé — il y avait un path cassé depuis la réorganisation du repo. L'opérateur tourne désormais en mode logging JSON production-safe par défaut.</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Côté tests et CI : 40 tests Node.js pour le scanner, tests Go pour les contrôleurs, et 5 workflows GitHub Actions dont un scan Trivy automatique.</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Pour les prochaines étapes, voici ce que je propose :</w:t>
            </w:r>
          </w:p>
          <w:p>
            <w:pPr>
              <w:spacing w:after="100" w:before="0"/>
            </w:pPr>
            <w:r>
              <w:rPr>
                <w:rFonts w:ascii="Arial" w:cs="Arial" w:eastAsia="Arial" w:hAnsi="Arial"/>
                <w:color w:val="24292F"/>
                <w:sz w:val="22"/>
                <w:szCs w:val="22"/>
              </w:rPr>
              <w:t xml:space="preserve">Un — builder et pousser les images v0.1.0 vers GHCR.</w:t>
            </w:r>
          </w:p>
          <w:p>
            <w:pPr>
              <w:spacing w:after="100" w:before="0"/>
            </w:pPr>
            <w:r>
              <w:rPr>
                <w:rFonts w:ascii="Arial" w:cs="Arial" w:eastAsia="Arial" w:hAnsi="Arial"/>
                <w:color w:val="24292F"/>
                <w:sz w:val="22"/>
                <w:szCs w:val="22"/>
              </w:rPr>
              <w:t xml:space="preserve">Deux — déployer sur un cluster de staging avec helm install.</w:t>
            </w:r>
          </w:p>
          <w:p>
            <w:pPr>
              <w:spacing w:after="100" w:before="0"/>
            </w:pPr>
            <w:r>
              <w:rPr>
                <w:rFonts w:ascii="Arial" w:cs="Arial" w:eastAsia="Arial" w:hAnsi="Arial"/>
                <w:color w:val="24292F"/>
                <w:sz w:val="22"/>
                <w:szCs w:val="22"/>
              </w:rPr>
              <w:t xml:space="preserve">Trois — lancer une première ClusterScan pour valider end-to-end.</w:t>
            </w:r>
          </w:p>
          <w:p>
            <w:pPr>
              <w:spacing w:after="100" w:before="0"/>
            </w:pPr>
            <w:r>
              <w:rPr>
                <w:rFonts w:ascii="Arial" w:cs="Arial" w:eastAsia="Arial" w:hAnsi="Arial"/>
                <w:color w:val="24292F"/>
                <w:sz w:val="22"/>
                <w:szCs w:val="22"/>
              </w:rPr>
              <w:t xml:space="preserve">Quatre — écrire les tests e2e avec make test-e2e.</w:t>
            </w:r>
          </w:p>
          <w:p>
            <w:pPr>
              <w:spacing w:after="100" w:before="0"/>
            </w:pPr>
            <w:r>
              <w:rPr>
                <w:rFonts w:ascii="Arial" w:cs="Arial" w:eastAsia="Arial" w:hAnsi="Arial"/>
                <w:color w:val="24292F"/>
                <w:sz w:val="22"/>
                <w:szCs w:val="22"/>
              </w:rPr>
              <w:t xml:space="preserve">Cinq — et à terme, publier sur OperatorHub pour une distribution plus large.</w:t>
            </w:r>
          </w:p>
          <w:p>
            <w:pPr>
              <w:spacing w:after="100" w:before="0"/>
            </w:pPr>
            <w:r>
              <w:rPr>
                <w:rFonts w:ascii="Arial" w:cs="Arial" w:eastAsia="Arial" w:hAnsi="Arial"/>
                <w:color w:val="24292F"/>
                <w:sz w:val="22"/>
                <w:szCs w:val="22"/>
              </w:rPr>
              <w:t xml:space="preserve"/>
            </w:r>
          </w:p>
          <w:p>
            <w:pPr>
              <w:spacing w:after="100" w:before="0"/>
            </w:pPr>
            <w:r>
              <w:rPr>
                <w:rFonts w:ascii="Arial" w:cs="Arial" w:eastAsia="Arial" w:hAnsi="Arial"/>
                <w:color w:val="24292F"/>
                <w:sz w:val="22"/>
                <w:szCs w:val="22"/>
              </w:rPr>
              <w:t xml:space="preserve">Je suis disponible pour vos questions.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6"/>
              <w:bottom w:val="single" w:color="D0D7DE" w:sz="1"/>
              <w:right w:val="single" w:color="D0D7DE" w:sz="1"/>
            </w:tcBorders>
            <w:shd w:fill="F5F3FF" w:val="clear"/>
            <w:tcMar>
              <w:top w:type="dxa" w:w="140"/>
              <w:left w:type="dxa" w:w="240"/>
              <w:bottom w:type="dxa" w:w="140"/>
              <w:right w:type="dxa" w:w="240"/>
            </w:tcMar>
          </w:tcPr>
          <w:p>
            <w:pPr>
              <w:spacing w:after="80" w:before="0"/>
            </w:pPr>
            <w:r>
              <w:rPr>
                <w:rFonts w:ascii="Arial" w:cs="Arial" w:eastAsia="Arial" w:hAnsi="Arial"/>
                <w:b/>
                <w:bCs/>
                <w:color w:val="7C3AED"/>
                <w:sz w:val="20"/>
                <w:szCs w:val="20"/>
              </w:rPr>
              <w:t xml:space="preserve">Notes &amp; conseils</w:t>
            </w:r>
          </w:p>
          <w:p>
            <w:pPr>
              <w:pStyle w:val="ListParagraph"/>
              <w:numPr>
                <w:ilvl w:val="0"/>
                <w:numId w:val="2"/>
              </w:numPr>
              <w:spacing w:after="80" w:before="0"/>
            </w:pPr>
            <w:r>
              <w:rPr>
                <w:rFonts w:ascii="Arial" w:cs="Arial" w:eastAsia="Arial" w:hAnsi="Arial"/>
                <w:i/>
                <w:iCs/>
                <w:color w:val="4B5563"/>
                <w:sz w:val="20"/>
                <w:szCs w:val="20"/>
              </w:rPr>
              <w:t xml:space="preserve">Terminer en regardant l'équipe, pas l'écran.</w:t>
            </w:r>
          </w:p>
          <w:p>
            <w:pPr>
              <w:pStyle w:val="ListParagraph"/>
              <w:numPr>
                <w:ilvl w:val="0"/>
                <w:numId w:val="2"/>
              </w:numPr>
              <w:spacing w:after="80" w:before="0"/>
            </w:pPr>
            <w:r>
              <w:rPr>
                <w:rFonts w:ascii="Arial" w:cs="Arial" w:eastAsia="Arial" w:hAnsi="Arial"/>
                <w:i/>
                <w:iCs/>
                <w:color w:val="4B5563"/>
                <w:sz w:val="20"/>
                <w:szCs w:val="20"/>
              </w:rPr>
              <w:t xml:space="preserve">Avoir la slide de l'architecture sous la main pour les questions techniques.</w:t>
            </w:r>
          </w:p>
          <w:p>
            <w:pPr>
              <w:pStyle w:val="ListParagraph"/>
              <w:numPr>
                <w:ilvl w:val="0"/>
                <w:numId w:val="2"/>
              </w:numPr>
              <w:spacing w:after="80" w:before="0"/>
            </w:pPr>
            <w:r>
              <w:rPr>
                <w:rFonts w:ascii="Arial" w:cs="Arial" w:eastAsia="Arial" w:hAnsi="Arial"/>
                <w:i/>
                <w:iCs/>
                <w:color w:val="4B5563"/>
                <w:sz w:val="20"/>
                <w:szCs w:val="20"/>
              </w:rPr>
              <w:t xml:space="preserve">Repo : github.com/SolucTeam/clamav-operator</w:t>
            </w:r>
          </w:p>
        </w:tc>
      </w:tr>
    </w:tbl>
    <w:p>
      <w:pPr>
        <w:spacing w:after="200"/>
      </w:pPr>
    </w:p>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ClamAV Operator — Script de Présentation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D8C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2026-02-28T10:34:07.505Z</dcterms:created>
  <dcterms:modified xsi:type="dcterms:W3CDTF">2026-02-28T10:34:07.505Z</dcterms:modified>
</cp:coreProperties>
</file>

<file path=docProps/custom.xml><?xml version="1.0" encoding="utf-8"?>
<Properties xmlns="http://schemas.openxmlformats.org/officeDocument/2006/custom-properties" xmlns:vt="http://schemas.openxmlformats.org/officeDocument/2006/docPropsVTypes"/>
</file>