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00" w:type="dxa"/>
        <w:tblBorders>
          <w:bottom w:val="single" w:sz="10" w:space="0" w:color="00279E"/>
        </w:tblBorders>
        <w:tblCellMar>
          <w:left w:w="10" w:type="dxa"/>
          <w:right w:w="10" w:type="dxa"/>
        </w:tblCellMar>
        <w:tblLook w:val="04A0" w:firstRow="1" w:lastRow="0" w:firstColumn="1" w:lastColumn="0" w:noHBand="0" w:noVBand="1"/>
      </w:tblPr>
      <w:tblGrid>
        <w:gridCol w:w="910"/>
        <w:gridCol w:w="10090"/>
      </w:tblGrid>
      <w:tr w:rsidR="00D51A63" w14:paraId="7836C789" w14:textId="77777777">
        <w:tblPrEx>
          <w:tblCellMar>
            <w:top w:w="0" w:type="dxa"/>
            <w:bottom w:w="0" w:type="dxa"/>
          </w:tblCellMar>
        </w:tblPrEx>
        <w:tc>
          <w:tcPr>
            <w:tcW w:w="820" w:type="dxa"/>
            <w:tcMar>
              <w:bottom w:w="40" w:type="dxa"/>
              <w:right w:w="90" w:type="dxa"/>
            </w:tcMar>
            <w:vAlign w:val="center"/>
          </w:tcPr>
          <w:p w14:paraId="3631108F" w14:textId="77777777" w:rsidR="00D51A63" w:rsidRDefault="00000000">
            <w:r>
              <w:rPr>
                <w:noProof/>
              </w:rPr>
              <w:drawing>
                <wp:inline distT="0" distB="0" distL="0" distR="0" wp14:anchorId="7F5CDA12" wp14:editId="2826DAED">
                  <wp:extent cx="514350" cy="495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 cy="495300"/>
                          </a:xfrm>
                          <a:prstGeom prst="rect">
                            <a:avLst/>
                          </a:prstGeom>
                        </pic:spPr>
                      </pic:pic>
                    </a:graphicData>
                  </a:graphic>
                </wp:inline>
              </w:drawing>
            </w:r>
          </w:p>
        </w:tc>
        <w:tc>
          <w:tcPr>
            <w:tcW w:w="10180" w:type="dxa"/>
            <w:tcMar>
              <w:bottom w:w="40" w:type="dxa"/>
            </w:tcMar>
            <w:vAlign w:val="center"/>
          </w:tcPr>
          <w:p w14:paraId="135515B1" w14:textId="77777777" w:rsidR="00D51A63" w:rsidRDefault="00000000">
            <w:r>
              <w:rPr>
                <w:rFonts w:ascii="Arial" w:eastAsia="Arial" w:hAnsi="Arial" w:cs="Arial"/>
                <w:b/>
                <w:bCs/>
                <w:color w:val="00279E"/>
                <w:sz w:val="18"/>
                <w:szCs w:val="18"/>
              </w:rPr>
              <w:t>COMITÉ PARA LA DEFENSA DEL AGUA Y DEL PÁRAMO DE SANTURBÁN</w:t>
            </w:r>
          </w:p>
          <w:p w14:paraId="422DF5AD" w14:textId="77777777" w:rsidR="00D51A63" w:rsidRDefault="00000000">
            <w:r>
              <w:rPr>
                <w:rFonts w:ascii="Arial" w:eastAsia="Arial" w:hAnsi="Arial" w:cs="Arial"/>
                <w:color w:val="04712E"/>
                <w:sz w:val="14"/>
                <w:szCs w:val="14"/>
              </w:rPr>
              <w:t>Salvemos el Agua, Salvemos la Vida   ·   Formato ciudadano para descargar, diligenciar y radicar</w:t>
            </w:r>
          </w:p>
        </w:tc>
      </w:tr>
    </w:tbl>
    <w:p w14:paraId="6891BCDE" w14:textId="461521EA" w:rsidR="00D51A63" w:rsidRPr="00FB6DE8" w:rsidRDefault="00D51A63">
      <w:pPr>
        <w:spacing w:before="80" w:after="56" w:line="234" w:lineRule="auto"/>
        <w:jc w:val="right"/>
        <w:rPr>
          <w:color w:val="auto"/>
        </w:rPr>
      </w:pPr>
    </w:p>
    <w:p w14:paraId="67C5186A" w14:textId="77777777" w:rsidR="00902ECA" w:rsidRPr="00C53FE6" w:rsidRDefault="00000000">
      <w:pPr>
        <w:spacing w:after="56" w:line="234" w:lineRule="auto"/>
        <w:jc w:val="both"/>
        <w:rPr>
          <w:color w:val="auto"/>
          <w:sz w:val="22"/>
          <w:szCs w:val="22"/>
        </w:rPr>
      </w:pPr>
      <w:r w:rsidRPr="00C53FE6">
        <w:rPr>
          <w:color w:val="auto"/>
          <w:sz w:val="22"/>
          <w:szCs w:val="22"/>
        </w:rPr>
        <w:t xml:space="preserve">Señores </w:t>
      </w:r>
    </w:p>
    <w:p w14:paraId="4DECA4EE" w14:textId="27E06D12" w:rsidR="00FB6DE8" w:rsidRPr="00C53FE6" w:rsidRDefault="00000000">
      <w:pPr>
        <w:spacing w:after="56" w:line="234" w:lineRule="auto"/>
        <w:jc w:val="both"/>
        <w:rPr>
          <w:color w:val="auto"/>
          <w:sz w:val="22"/>
          <w:szCs w:val="22"/>
        </w:rPr>
      </w:pPr>
      <w:r w:rsidRPr="00C53FE6">
        <w:rPr>
          <w:b/>
          <w:bCs/>
          <w:color w:val="auto"/>
          <w:sz w:val="22"/>
          <w:szCs w:val="22"/>
        </w:rPr>
        <w:t>PROCURADURÍA GENERAL DE LA NACIÓN</w:t>
      </w:r>
    </w:p>
    <w:p w14:paraId="6DEF2220" w14:textId="29F49AB9" w:rsidR="00FB6DE8" w:rsidRPr="00C53FE6" w:rsidRDefault="00000000">
      <w:pPr>
        <w:spacing w:after="56" w:line="234" w:lineRule="auto"/>
        <w:jc w:val="both"/>
        <w:rPr>
          <w:color w:val="auto"/>
          <w:sz w:val="22"/>
          <w:szCs w:val="22"/>
        </w:rPr>
      </w:pPr>
      <w:r w:rsidRPr="00C53FE6">
        <w:rPr>
          <w:color w:val="auto"/>
          <w:sz w:val="22"/>
          <w:szCs w:val="22"/>
        </w:rPr>
        <w:t>Procuraduría Delegada para Asuntos Ambientales y Agrarios</w:t>
      </w:r>
    </w:p>
    <w:p w14:paraId="3E73C71B" w14:textId="77777777" w:rsidR="00FB6DE8" w:rsidRPr="00C53FE6" w:rsidRDefault="00000000">
      <w:pPr>
        <w:spacing w:after="56" w:line="234" w:lineRule="auto"/>
        <w:jc w:val="both"/>
        <w:rPr>
          <w:color w:val="auto"/>
          <w:sz w:val="22"/>
          <w:szCs w:val="22"/>
        </w:rPr>
      </w:pPr>
      <w:r w:rsidRPr="00C53FE6">
        <w:rPr>
          <w:color w:val="auto"/>
          <w:sz w:val="22"/>
          <w:szCs w:val="22"/>
        </w:rPr>
        <w:t>Bogotá D. C.</w:t>
      </w:r>
    </w:p>
    <w:p w14:paraId="3A077248" w14:textId="4FBDC678" w:rsidR="00D51A63" w:rsidRPr="00C53FE6" w:rsidRDefault="00000000">
      <w:pPr>
        <w:spacing w:after="56" w:line="234" w:lineRule="auto"/>
        <w:jc w:val="both"/>
        <w:rPr>
          <w:color w:val="auto"/>
          <w:sz w:val="22"/>
          <w:szCs w:val="22"/>
        </w:rPr>
      </w:pPr>
      <w:r w:rsidRPr="00C53FE6">
        <w:rPr>
          <w:color w:val="auto"/>
          <w:sz w:val="22"/>
          <w:szCs w:val="22"/>
        </w:rPr>
        <w:t>Correo: quejas@procuraduria.gov.co</w:t>
      </w:r>
    </w:p>
    <w:p w14:paraId="4AB801A2" w14:textId="77777777" w:rsidR="00D51A63" w:rsidRPr="00C53FE6" w:rsidRDefault="00000000">
      <w:pPr>
        <w:spacing w:after="64" w:line="234" w:lineRule="auto"/>
        <w:jc w:val="both"/>
        <w:rPr>
          <w:color w:val="auto"/>
          <w:sz w:val="22"/>
          <w:szCs w:val="22"/>
        </w:rPr>
      </w:pPr>
      <w:r w:rsidRPr="00C53FE6">
        <w:rPr>
          <w:b/>
          <w:bCs/>
          <w:color w:val="auto"/>
          <w:sz w:val="22"/>
          <w:szCs w:val="22"/>
        </w:rPr>
        <w:t xml:space="preserve">Referencia: </w:t>
      </w:r>
      <w:r w:rsidRPr="00C53FE6">
        <w:rPr>
          <w:color w:val="auto"/>
          <w:sz w:val="22"/>
          <w:szCs w:val="22"/>
        </w:rPr>
        <w:t>solicitud de ejercicio de la función preventiva y de control de gestión. Omisión del Ministerio de Ambiente y Desarrollo Sostenible en reabrir la consulta pública de la reserva La Baja, en defensa del páramo de Santurbán y del agua de Bucaramanga.</w:t>
      </w:r>
    </w:p>
    <w:p w14:paraId="102376A7" w14:textId="77777777" w:rsidR="00D51A63" w:rsidRPr="00C53FE6" w:rsidRDefault="00000000">
      <w:pPr>
        <w:spacing w:after="64" w:line="234" w:lineRule="auto"/>
        <w:jc w:val="both"/>
        <w:rPr>
          <w:color w:val="auto"/>
          <w:sz w:val="22"/>
          <w:szCs w:val="22"/>
        </w:rPr>
      </w:pPr>
      <w:r w:rsidRPr="00C53FE6">
        <w:rPr>
          <w:b/>
          <w:bCs/>
          <w:color w:val="auto"/>
          <w:sz w:val="22"/>
          <w:szCs w:val="22"/>
          <w:shd w:val="clear" w:color="auto" w:fill="EAF0FF"/>
        </w:rPr>
        <w:t>[NOMBRE COMPLETO]</w:t>
      </w:r>
      <w:r w:rsidRPr="00C53FE6">
        <w:rPr>
          <w:color w:val="auto"/>
          <w:sz w:val="22"/>
          <w:szCs w:val="22"/>
        </w:rPr>
        <w:t xml:space="preserve">, identificado con cédula </w:t>
      </w:r>
      <w:r w:rsidRPr="00C53FE6">
        <w:rPr>
          <w:b/>
          <w:bCs/>
          <w:color w:val="auto"/>
          <w:sz w:val="22"/>
          <w:szCs w:val="22"/>
          <w:shd w:val="clear" w:color="auto" w:fill="EAF0FF"/>
        </w:rPr>
        <w:t>[NÚMERO]</w:t>
      </w:r>
      <w:r w:rsidRPr="00C53FE6">
        <w:rPr>
          <w:color w:val="auto"/>
          <w:sz w:val="22"/>
          <w:szCs w:val="22"/>
        </w:rPr>
        <w:t>, actuando en nombre propio y en defensa de Santurbán, con fundamento en los numerales 1, 4 y 5 del artículo 277 de la Constitución, que encargan a la Procuraduría vigilar el cumplimiento de la Constitución, las leyes y las decisiones judiciales, defender los intereses colectivos, en especial el ambiente, y velar por el ejercicio diligente y eficiente de las funciones administrativas, y en el artículo 24 del Decreto Ley 262 de 2000, solicito la intervención preventiva de esa entidad frente a los hechos que siguen.</w:t>
      </w:r>
    </w:p>
    <w:p w14:paraId="3B8B8D21" w14:textId="77777777" w:rsidR="00D51A63" w:rsidRPr="00C53FE6" w:rsidRDefault="00000000" w:rsidP="00FB6DE8">
      <w:pPr>
        <w:spacing w:before="26" w:after="48" w:line="234" w:lineRule="auto"/>
        <w:jc w:val="center"/>
        <w:rPr>
          <w:color w:val="auto"/>
          <w:sz w:val="22"/>
          <w:szCs w:val="22"/>
        </w:rPr>
      </w:pPr>
      <w:r w:rsidRPr="00C53FE6">
        <w:rPr>
          <w:rFonts w:eastAsia="Arial"/>
          <w:b/>
          <w:bCs/>
          <w:color w:val="auto"/>
          <w:sz w:val="22"/>
          <w:szCs w:val="22"/>
        </w:rPr>
        <w:t>LOS HECHOS</w:t>
      </w:r>
    </w:p>
    <w:p w14:paraId="73B2081F" w14:textId="77777777" w:rsidR="00D51A63" w:rsidRPr="00C53FE6" w:rsidRDefault="00000000">
      <w:pPr>
        <w:pStyle w:val="Prrafodelista"/>
        <w:numPr>
          <w:ilvl w:val="0"/>
          <w:numId w:val="2"/>
        </w:numPr>
        <w:spacing w:after="46" w:line="234" w:lineRule="auto"/>
        <w:jc w:val="both"/>
        <w:rPr>
          <w:color w:val="auto"/>
          <w:sz w:val="22"/>
          <w:szCs w:val="22"/>
        </w:rPr>
      </w:pPr>
      <w:r w:rsidRPr="00C53FE6">
        <w:rPr>
          <w:color w:val="auto"/>
          <w:sz w:val="22"/>
          <w:szCs w:val="22"/>
        </w:rPr>
        <w:t>El 6 de agosto de 2026 la Resolución 0994 del Ministerio de Ambiente declaró la reserva definitiva La Baja sobre 1.499 hectáreas de la microcuenca del mismo nombre, en California, Santander: una de las fuentes por las que el páramo de Santurbán entrega su agua al río Suratá, del que se abastece el área metropolitana de Bucaramanga.</w:t>
      </w:r>
    </w:p>
    <w:p w14:paraId="0FEE8500" w14:textId="77777777" w:rsidR="00D51A63" w:rsidRPr="00C53FE6" w:rsidRDefault="00000000">
      <w:pPr>
        <w:pStyle w:val="Prrafodelista"/>
        <w:numPr>
          <w:ilvl w:val="0"/>
          <w:numId w:val="2"/>
        </w:numPr>
        <w:spacing w:after="46" w:line="234" w:lineRule="auto"/>
        <w:jc w:val="both"/>
        <w:rPr>
          <w:color w:val="auto"/>
          <w:sz w:val="22"/>
          <w:szCs w:val="22"/>
        </w:rPr>
      </w:pPr>
      <w:r w:rsidRPr="00C53FE6">
        <w:rPr>
          <w:color w:val="auto"/>
          <w:sz w:val="22"/>
          <w:szCs w:val="22"/>
        </w:rPr>
        <w:t>El 13 de agosto la Resolución 1037 la revocó invocando el fallo de tutela del 10 de agosto de 2026 del Juzgado Octavo Administrativo del Circuito Judicial de Bucaramanga, radicado 68001333300820260022600. El ordinal cuarto de ese fallo ordenó dejar sin efectos el trámite de consulta, dentro de las cuarenta y ocho horas siguientes, "y en su lugar, reinicie íntegramente la etapa de consulta pública", con seis garantías expresas de publicidad y participación; el quinto dispuso que, si la resolución ya estaba proferida, la actuación se retrotraería para cumplir esa etapa. El Ministerio atendió lo primero y no lo segundo: ningún artículo de la 1037 reinicia la consulta, ningún considerando fija cronograma y el término está vencido. La actuación quedó retrotraída, abierta y sin plazo.</w:t>
      </w:r>
    </w:p>
    <w:p w14:paraId="4C710EAA" w14:textId="77777777" w:rsidR="00D51A63" w:rsidRPr="00C53FE6" w:rsidRDefault="00000000">
      <w:pPr>
        <w:pStyle w:val="Prrafodelista"/>
        <w:numPr>
          <w:ilvl w:val="0"/>
          <w:numId w:val="2"/>
        </w:numPr>
        <w:spacing w:after="46" w:line="234" w:lineRule="auto"/>
        <w:jc w:val="both"/>
        <w:rPr>
          <w:color w:val="auto"/>
          <w:sz w:val="22"/>
          <w:szCs w:val="22"/>
        </w:rPr>
      </w:pPr>
      <w:r w:rsidRPr="00C53FE6">
        <w:rPr>
          <w:color w:val="auto"/>
          <w:sz w:val="22"/>
          <w:szCs w:val="22"/>
        </w:rPr>
        <w:t>La propia Resolución 1037 reconoce que la revocatoria no controvierte los fundamentos técnicos, científicos y ambientales de la reserva. Esos fundamentos siguen en pie, incluido el estudio de isótopos del Servicio Geológico Colombiano de abril de 2026, que probó que el agua que brota dentro de los túneles mineros de la zona se recargó arriba, en el páramo: el área es zona de recarga del sistema que surte a Bucaramanga.</w:t>
      </w:r>
    </w:p>
    <w:p w14:paraId="284C7C68" w14:textId="77777777" w:rsidR="00D51A63" w:rsidRPr="00C53FE6" w:rsidRDefault="00000000">
      <w:pPr>
        <w:pStyle w:val="Prrafodelista"/>
        <w:numPr>
          <w:ilvl w:val="0"/>
          <w:numId w:val="2"/>
        </w:numPr>
        <w:spacing w:after="46" w:line="234" w:lineRule="auto"/>
        <w:jc w:val="both"/>
        <w:rPr>
          <w:color w:val="auto"/>
          <w:sz w:val="22"/>
          <w:szCs w:val="22"/>
        </w:rPr>
      </w:pPr>
      <w:r w:rsidRPr="00C53FE6">
        <w:rPr>
          <w:color w:val="auto"/>
          <w:sz w:val="22"/>
          <w:szCs w:val="22"/>
        </w:rPr>
        <w:t xml:space="preserve">Sobre las mismas 1.499 hectáreas se superpone el contrato de concesión 0095-68 del proyecto Soto Norte, hoy de Aris </w:t>
      </w:r>
      <w:proofErr w:type="spellStart"/>
      <w:r w:rsidRPr="00C53FE6">
        <w:rPr>
          <w:color w:val="auto"/>
          <w:sz w:val="22"/>
          <w:szCs w:val="22"/>
        </w:rPr>
        <w:t>Mining</w:t>
      </w:r>
      <w:proofErr w:type="spellEnd"/>
      <w:r w:rsidRPr="00C53FE6">
        <w:rPr>
          <w:color w:val="auto"/>
          <w:sz w:val="22"/>
          <w:szCs w:val="22"/>
        </w:rPr>
        <w:t>, en cerca de 379 hectáreas, la cuarta parte del área. Una actuación abierta sin término sobre un área con interés minero acreditado no es una demora ordinaria de gestión: es el escenario que la función preventiva está llamada a corregir antes de que el daño se produzca.</w:t>
      </w:r>
    </w:p>
    <w:p w14:paraId="194D63CC" w14:textId="77777777" w:rsidR="00D51A63" w:rsidRPr="00C53FE6" w:rsidRDefault="00000000" w:rsidP="00FB6DE8">
      <w:pPr>
        <w:spacing w:before="26" w:after="48" w:line="234" w:lineRule="auto"/>
        <w:jc w:val="center"/>
        <w:rPr>
          <w:color w:val="auto"/>
          <w:sz w:val="22"/>
          <w:szCs w:val="22"/>
        </w:rPr>
      </w:pPr>
      <w:r w:rsidRPr="00C53FE6">
        <w:rPr>
          <w:rFonts w:eastAsia="Arial"/>
          <w:b/>
          <w:bCs/>
          <w:color w:val="auto"/>
          <w:sz w:val="22"/>
          <w:szCs w:val="22"/>
        </w:rPr>
        <w:t>POR QUÉ PROCEDE LA INTERVENCIÓN</w:t>
      </w:r>
    </w:p>
    <w:p w14:paraId="48FA3D8F" w14:textId="77777777" w:rsidR="00D51A63" w:rsidRPr="00C53FE6" w:rsidRDefault="00000000">
      <w:pPr>
        <w:pStyle w:val="Prrafodelista"/>
        <w:numPr>
          <w:ilvl w:val="0"/>
          <w:numId w:val="3"/>
        </w:numPr>
        <w:spacing w:after="46" w:line="234" w:lineRule="auto"/>
        <w:jc w:val="both"/>
        <w:rPr>
          <w:color w:val="auto"/>
          <w:sz w:val="22"/>
          <w:szCs w:val="22"/>
        </w:rPr>
      </w:pPr>
      <w:r w:rsidRPr="00C53FE6">
        <w:rPr>
          <w:color w:val="auto"/>
          <w:sz w:val="22"/>
          <w:szCs w:val="22"/>
        </w:rPr>
        <w:t>Una actuación administrativa retrotraída que permanece abierta sin término contraría los principios de eficacia y celeridad del artículo 3 de la Ley 1437 de 2011.</w:t>
      </w:r>
    </w:p>
    <w:p w14:paraId="4318767C" w14:textId="77777777" w:rsidR="00D51A63" w:rsidRPr="00C53FE6" w:rsidRDefault="00000000">
      <w:pPr>
        <w:pStyle w:val="Prrafodelista"/>
        <w:numPr>
          <w:ilvl w:val="0"/>
          <w:numId w:val="3"/>
        </w:numPr>
        <w:spacing w:after="46" w:line="234" w:lineRule="auto"/>
        <w:jc w:val="both"/>
        <w:rPr>
          <w:color w:val="auto"/>
          <w:sz w:val="22"/>
          <w:szCs w:val="22"/>
        </w:rPr>
      </w:pPr>
      <w:r w:rsidRPr="00C53FE6">
        <w:rPr>
          <w:color w:val="auto"/>
          <w:sz w:val="22"/>
          <w:szCs w:val="22"/>
        </w:rPr>
        <w:t>Un procedimiento de participación cerrado sin fecha desconoce el artículo 7 del Acuerdo de Escazú, incorporado por la Ley 2273 de 2022, y el estándar de participación previa, amplia, deliberada, consciente, responsable y eficaz que la Sentencia T-361 de 2017 (M. P. Alberto Rojas Ríos) fijó precisamente para Santurbán.</w:t>
      </w:r>
    </w:p>
    <w:p w14:paraId="1C863D3A" w14:textId="77777777" w:rsidR="00D51A63" w:rsidRPr="00C53FE6" w:rsidRDefault="00000000">
      <w:pPr>
        <w:pStyle w:val="Prrafodelista"/>
        <w:numPr>
          <w:ilvl w:val="0"/>
          <w:numId w:val="3"/>
        </w:numPr>
        <w:spacing w:after="46" w:line="234" w:lineRule="auto"/>
        <w:jc w:val="both"/>
        <w:rPr>
          <w:color w:val="auto"/>
          <w:sz w:val="22"/>
          <w:szCs w:val="22"/>
        </w:rPr>
      </w:pPr>
      <w:r w:rsidRPr="00C53FE6">
        <w:rPr>
          <w:color w:val="auto"/>
          <w:sz w:val="22"/>
          <w:szCs w:val="22"/>
        </w:rPr>
        <w:t>El Tribunal Administrativo de Santander declaró en primera instancia al páramo de Santurbán entidad sujeto de derechos y asignó su guarda, entre otras entidades, al propio Ministerio (M. P. Iván Fernando Prada Macías, radicado 68001233300020200013800). La entidad que retiró la protección es la misma a la que se confió la custodia: eso no supone reproche, supone un deber reforzado de concluir la actuación, y verificar ese deber es función preventiva.</w:t>
      </w:r>
    </w:p>
    <w:p w14:paraId="64E7AD2A" w14:textId="77777777" w:rsidR="00D51A63" w:rsidRPr="00C53FE6" w:rsidRDefault="00000000">
      <w:pPr>
        <w:pStyle w:val="Prrafodelista"/>
        <w:numPr>
          <w:ilvl w:val="0"/>
          <w:numId w:val="3"/>
        </w:numPr>
        <w:spacing w:after="46" w:line="234" w:lineRule="auto"/>
        <w:jc w:val="both"/>
        <w:rPr>
          <w:color w:val="auto"/>
          <w:sz w:val="22"/>
          <w:szCs w:val="22"/>
        </w:rPr>
      </w:pPr>
      <w:r w:rsidRPr="00C53FE6">
        <w:rPr>
          <w:color w:val="auto"/>
          <w:sz w:val="22"/>
          <w:szCs w:val="22"/>
        </w:rPr>
        <w:t>El principio de no regresión ambiental (Sentencia C-035 de 2016, M. P. Gloria Stella Ortiz Delgado) y el de precaución (artículo 1, numeral 6, de la Ley 99 de 1993) impiden que una protección desaparezca sin decisión definitiva mientras la evidencia técnica que la sustentó permanece intacta. Esta solicitud no persigue sanción alguna: persigue que la actuación termine.</w:t>
      </w:r>
    </w:p>
    <w:p w14:paraId="26EB0EF5" w14:textId="77777777" w:rsidR="00D51A63" w:rsidRPr="00C53FE6" w:rsidRDefault="00000000" w:rsidP="00FB6DE8">
      <w:pPr>
        <w:spacing w:before="26" w:after="48" w:line="234" w:lineRule="auto"/>
        <w:jc w:val="center"/>
        <w:rPr>
          <w:color w:val="auto"/>
          <w:sz w:val="22"/>
          <w:szCs w:val="22"/>
        </w:rPr>
      </w:pPr>
      <w:r w:rsidRPr="00C53FE6">
        <w:rPr>
          <w:rFonts w:eastAsia="Arial"/>
          <w:b/>
          <w:bCs/>
          <w:color w:val="auto"/>
          <w:sz w:val="22"/>
          <w:szCs w:val="22"/>
        </w:rPr>
        <w:t>LAS PETICIONES</w:t>
      </w:r>
    </w:p>
    <w:p w14:paraId="22A999A8" w14:textId="77777777" w:rsidR="00D51A63" w:rsidRPr="00C53FE6" w:rsidRDefault="00000000">
      <w:pPr>
        <w:pStyle w:val="Prrafodelista"/>
        <w:numPr>
          <w:ilvl w:val="0"/>
          <w:numId w:val="4"/>
        </w:numPr>
        <w:spacing w:after="46" w:line="234" w:lineRule="auto"/>
        <w:jc w:val="both"/>
        <w:rPr>
          <w:color w:val="auto"/>
          <w:sz w:val="22"/>
          <w:szCs w:val="22"/>
        </w:rPr>
      </w:pPr>
      <w:r w:rsidRPr="00C53FE6">
        <w:rPr>
          <w:b/>
          <w:bCs/>
          <w:color w:val="auto"/>
          <w:sz w:val="22"/>
          <w:szCs w:val="22"/>
        </w:rPr>
        <w:t xml:space="preserve">Ejercer la función preventiva y de control de gestión </w:t>
      </w:r>
      <w:r w:rsidRPr="00C53FE6">
        <w:rPr>
          <w:color w:val="auto"/>
          <w:sz w:val="22"/>
          <w:szCs w:val="22"/>
        </w:rPr>
        <w:t>sobre el Ministerio de Ambiente por la omisión en reiniciar la etapa de consulta pública de la reserva La Baja.</w:t>
      </w:r>
    </w:p>
    <w:p w14:paraId="5F7894E6" w14:textId="77777777" w:rsidR="00D51A63" w:rsidRPr="00C53FE6" w:rsidRDefault="00000000">
      <w:pPr>
        <w:pStyle w:val="Prrafodelista"/>
        <w:numPr>
          <w:ilvl w:val="0"/>
          <w:numId w:val="4"/>
        </w:numPr>
        <w:spacing w:after="46" w:line="234" w:lineRule="auto"/>
        <w:jc w:val="both"/>
        <w:rPr>
          <w:color w:val="auto"/>
          <w:sz w:val="22"/>
          <w:szCs w:val="22"/>
        </w:rPr>
      </w:pPr>
      <w:r w:rsidRPr="00C53FE6">
        <w:rPr>
          <w:b/>
          <w:bCs/>
          <w:color w:val="auto"/>
          <w:sz w:val="22"/>
          <w:szCs w:val="22"/>
        </w:rPr>
        <w:t xml:space="preserve">Requerirlo </w:t>
      </w:r>
      <w:r w:rsidRPr="00C53FE6">
        <w:rPr>
          <w:color w:val="auto"/>
          <w:sz w:val="22"/>
          <w:szCs w:val="22"/>
        </w:rPr>
        <w:t>para que informe el cronograma cierto de reapertura y las actuaciones adelantadas desde el 13 de agosto de 2026.</w:t>
      </w:r>
    </w:p>
    <w:p w14:paraId="2FF537B6" w14:textId="77777777" w:rsidR="00D51A63" w:rsidRPr="00C53FE6" w:rsidRDefault="00000000">
      <w:pPr>
        <w:pStyle w:val="Prrafodelista"/>
        <w:numPr>
          <w:ilvl w:val="0"/>
          <w:numId w:val="4"/>
        </w:numPr>
        <w:spacing w:after="46" w:line="234" w:lineRule="auto"/>
        <w:jc w:val="both"/>
        <w:rPr>
          <w:color w:val="auto"/>
          <w:sz w:val="22"/>
          <w:szCs w:val="22"/>
        </w:rPr>
      </w:pPr>
      <w:r w:rsidRPr="00C53FE6">
        <w:rPr>
          <w:b/>
          <w:bCs/>
          <w:color w:val="auto"/>
          <w:sz w:val="22"/>
          <w:szCs w:val="22"/>
        </w:rPr>
        <w:t xml:space="preserve">Acompañar la consulta </w:t>
      </w:r>
      <w:r w:rsidRPr="00C53FE6">
        <w:rPr>
          <w:color w:val="auto"/>
          <w:sz w:val="22"/>
          <w:szCs w:val="22"/>
        </w:rPr>
        <w:t>cuando sea reabierta, como garante de la participación, verificando las seis garantías del ordinal cuarto del fallo.</w:t>
      </w:r>
    </w:p>
    <w:p w14:paraId="6D671A21" w14:textId="77777777" w:rsidR="00D51A63" w:rsidRPr="00C53FE6" w:rsidRDefault="00000000">
      <w:pPr>
        <w:pStyle w:val="Prrafodelista"/>
        <w:numPr>
          <w:ilvl w:val="0"/>
          <w:numId w:val="4"/>
        </w:numPr>
        <w:spacing w:after="46" w:line="234" w:lineRule="auto"/>
        <w:jc w:val="both"/>
        <w:rPr>
          <w:color w:val="auto"/>
          <w:sz w:val="22"/>
          <w:szCs w:val="22"/>
        </w:rPr>
      </w:pPr>
      <w:r w:rsidRPr="00C53FE6">
        <w:rPr>
          <w:b/>
          <w:bCs/>
          <w:color w:val="auto"/>
          <w:sz w:val="22"/>
          <w:szCs w:val="22"/>
        </w:rPr>
        <w:t xml:space="preserve">Requerir al Ministerio y a la Agencia Nacional de Minería </w:t>
      </w:r>
      <w:r w:rsidRPr="00C53FE6">
        <w:rPr>
          <w:color w:val="auto"/>
          <w:sz w:val="22"/>
          <w:szCs w:val="22"/>
        </w:rPr>
        <w:t>para que informen si se proyecta declarar áreas protegidas en Santurbán y si sus polígonos se superponen con títulos mineros vigentes, incluido el contrato 0095-68.</w:t>
      </w:r>
    </w:p>
    <w:p w14:paraId="27625C1A" w14:textId="77777777" w:rsidR="00D51A63" w:rsidRPr="00C53FE6" w:rsidRDefault="00000000">
      <w:pPr>
        <w:pStyle w:val="Prrafodelista"/>
        <w:numPr>
          <w:ilvl w:val="0"/>
          <w:numId w:val="4"/>
        </w:numPr>
        <w:spacing w:after="46" w:line="234" w:lineRule="auto"/>
        <w:jc w:val="both"/>
        <w:rPr>
          <w:color w:val="auto"/>
          <w:sz w:val="22"/>
          <w:szCs w:val="22"/>
        </w:rPr>
      </w:pPr>
      <w:r w:rsidRPr="00C53FE6">
        <w:rPr>
          <w:b/>
          <w:bCs/>
          <w:color w:val="auto"/>
          <w:sz w:val="22"/>
          <w:szCs w:val="22"/>
        </w:rPr>
        <w:t xml:space="preserve">Verificar </w:t>
      </w:r>
      <w:r w:rsidRPr="00C53FE6">
        <w:rPr>
          <w:color w:val="auto"/>
          <w:sz w:val="22"/>
          <w:szCs w:val="22"/>
        </w:rPr>
        <w:t>el cumplimiento de las obligaciones que el Tribunal Administrativo de Santander impuso al Ministerio como guardián del páramo.</w:t>
      </w:r>
    </w:p>
    <w:p w14:paraId="03740B85" w14:textId="77777777" w:rsidR="00D51A63" w:rsidRPr="00C53FE6" w:rsidRDefault="00000000">
      <w:pPr>
        <w:pStyle w:val="Prrafodelista"/>
        <w:numPr>
          <w:ilvl w:val="0"/>
          <w:numId w:val="4"/>
        </w:numPr>
        <w:spacing w:after="46" w:line="234" w:lineRule="auto"/>
        <w:jc w:val="both"/>
        <w:rPr>
          <w:color w:val="auto"/>
          <w:sz w:val="22"/>
          <w:szCs w:val="22"/>
        </w:rPr>
      </w:pPr>
      <w:r w:rsidRPr="00C53FE6">
        <w:rPr>
          <w:b/>
          <w:bCs/>
          <w:color w:val="auto"/>
          <w:sz w:val="22"/>
          <w:szCs w:val="22"/>
        </w:rPr>
        <w:t xml:space="preserve">Evaluar </w:t>
      </w:r>
      <w:r w:rsidRPr="00C53FE6">
        <w:rPr>
          <w:color w:val="auto"/>
          <w:sz w:val="22"/>
          <w:szCs w:val="22"/>
        </w:rPr>
        <w:t>si la omisión descrita configura falta disciplinaria y, de ser el caso, iniciar las actuaciones que correspondan.</w:t>
      </w:r>
    </w:p>
    <w:p w14:paraId="15EA9807" w14:textId="77777777" w:rsidR="00D51A63" w:rsidRPr="00C53FE6" w:rsidRDefault="00000000" w:rsidP="00FB6DE8">
      <w:pPr>
        <w:spacing w:before="26" w:after="48" w:line="234" w:lineRule="auto"/>
        <w:jc w:val="center"/>
        <w:rPr>
          <w:color w:val="auto"/>
          <w:sz w:val="22"/>
          <w:szCs w:val="22"/>
        </w:rPr>
      </w:pPr>
      <w:r w:rsidRPr="00C53FE6">
        <w:rPr>
          <w:rFonts w:eastAsia="Arial"/>
          <w:b/>
          <w:bCs/>
          <w:color w:val="auto"/>
          <w:sz w:val="22"/>
          <w:szCs w:val="22"/>
        </w:rPr>
        <w:t>NOTIFICACIONES</w:t>
      </w:r>
    </w:p>
    <w:p w14:paraId="63D70C8C" w14:textId="77777777" w:rsidR="00D51A63" w:rsidRPr="00C53FE6" w:rsidRDefault="00000000">
      <w:pPr>
        <w:spacing w:after="80" w:line="234" w:lineRule="auto"/>
        <w:jc w:val="both"/>
        <w:rPr>
          <w:color w:val="auto"/>
          <w:sz w:val="22"/>
          <w:szCs w:val="22"/>
        </w:rPr>
      </w:pPr>
      <w:r w:rsidRPr="00C53FE6">
        <w:rPr>
          <w:color w:val="auto"/>
          <w:sz w:val="22"/>
          <w:szCs w:val="22"/>
        </w:rPr>
        <w:t xml:space="preserve">Recibiré comunicaciones en el correo electrónico </w:t>
      </w:r>
      <w:r w:rsidRPr="00C53FE6">
        <w:rPr>
          <w:b/>
          <w:bCs/>
          <w:color w:val="auto"/>
          <w:sz w:val="22"/>
          <w:szCs w:val="22"/>
          <w:shd w:val="clear" w:color="auto" w:fill="EAF0FF"/>
        </w:rPr>
        <w:t>[SU CORREO]</w:t>
      </w:r>
      <w:r w:rsidRPr="00C53FE6">
        <w:rPr>
          <w:color w:val="auto"/>
          <w:sz w:val="22"/>
          <w:szCs w:val="22"/>
        </w:rPr>
        <w:t>.</w:t>
      </w:r>
    </w:p>
    <w:p w14:paraId="4C09460D" w14:textId="77777777" w:rsidR="00D51A63" w:rsidRPr="00C53FE6" w:rsidRDefault="00000000">
      <w:pPr>
        <w:spacing w:after="300" w:line="234" w:lineRule="auto"/>
        <w:jc w:val="both"/>
        <w:rPr>
          <w:color w:val="auto"/>
          <w:sz w:val="22"/>
          <w:szCs w:val="22"/>
        </w:rPr>
      </w:pPr>
      <w:r w:rsidRPr="00C53FE6">
        <w:rPr>
          <w:color w:val="auto"/>
          <w:sz w:val="22"/>
          <w:szCs w:val="22"/>
        </w:rPr>
        <w:t>Atentamente,</w:t>
      </w:r>
    </w:p>
    <w:p w14:paraId="1AD14FD8" w14:textId="77777777" w:rsidR="00D51A63" w:rsidRPr="00C53FE6" w:rsidRDefault="00000000">
      <w:pPr>
        <w:spacing w:after="26" w:line="234" w:lineRule="auto"/>
        <w:jc w:val="both"/>
        <w:rPr>
          <w:color w:val="auto"/>
          <w:sz w:val="22"/>
          <w:szCs w:val="22"/>
        </w:rPr>
      </w:pPr>
      <w:r w:rsidRPr="00C53FE6">
        <w:rPr>
          <w:color w:val="auto"/>
          <w:sz w:val="22"/>
          <w:szCs w:val="22"/>
        </w:rPr>
        <w:t>__________________________________________</w:t>
      </w:r>
    </w:p>
    <w:p w14:paraId="6C4D36AB" w14:textId="13D215AE" w:rsidR="00FB6DE8" w:rsidRPr="00C53FE6" w:rsidRDefault="00000000">
      <w:pPr>
        <w:spacing w:after="40" w:line="234" w:lineRule="auto"/>
        <w:jc w:val="both"/>
        <w:rPr>
          <w:color w:val="auto"/>
          <w:sz w:val="22"/>
          <w:szCs w:val="22"/>
        </w:rPr>
      </w:pPr>
      <w:r w:rsidRPr="00C53FE6">
        <w:rPr>
          <w:color w:val="auto"/>
          <w:sz w:val="22"/>
          <w:szCs w:val="22"/>
        </w:rPr>
        <w:t xml:space="preserve">Nombre: </w:t>
      </w:r>
      <w:r w:rsidRPr="00C53FE6">
        <w:rPr>
          <w:b/>
          <w:bCs/>
          <w:color w:val="auto"/>
          <w:sz w:val="22"/>
          <w:szCs w:val="22"/>
          <w:shd w:val="clear" w:color="auto" w:fill="EAF0FF"/>
        </w:rPr>
        <w:t>[NOMBRE COMPLETO]</w:t>
      </w:r>
      <w:r w:rsidRPr="00C53FE6">
        <w:rPr>
          <w:color w:val="auto"/>
          <w:sz w:val="22"/>
          <w:szCs w:val="22"/>
        </w:rPr>
        <w:t xml:space="preserve">   · </w:t>
      </w:r>
    </w:p>
    <w:p w14:paraId="6AF0D341" w14:textId="316E0ACC" w:rsidR="00D51A63" w:rsidRPr="00C53FE6" w:rsidRDefault="00000000">
      <w:pPr>
        <w:spacing w:after="40" w:line="234" w:lineRule="auto"/>
        <w:jc w:val="both"/>
        <w:rPr>
          <w:color w:val="auto"/>
          <w:sz w:val="22"/>
          <w:szCs w:val="22"/>
        </w:rPr>
      </w:pPr>
      <w:r w:rsidRPr="00C53FE6">
        <w:rPr>
          <w:color w:val="auto"/>
          <w:sz w:val="22"/>
          <w:szCs w:val="22"/>
        </w:rPr>
        <w:t xml:space="preserve">C.C. </w:t>
      </w:r>
      <w:r w:rsidRPr="00C53FE6">
        <w:rPr>
          <w:b/>
          <w:bCs/>
          <w:color w:val="auto"/>
          <w:sz w:val="22"/>
          <w:szCs w:val="22"/>
          <w:shd w:val="clear" w:color="auto" w:fill="EAF0FF"/>
        </w:rPr>
        <w:t>[NÚMERO]</w:t>
      </w:r>
      <w:r w:rsidRPr="00C53FE6">
        <w:rPr>
          <w:color w:val="auto"/>
          <w:sz w:val="22"/>
          <w:szCs w:val="22"/>
        </w:rPr>
        <w:t xml:space="preserve"> </w:t>
      </w:r>
    </w:p>
    <w:p w14:paraId="33E550E3" w14:textId="6EA1E8D5" w:rsidR="00D51A63" w:rsidRPr="00C53FE6" w:rsidRDefault="00D51A63">
      <w:pPr>
        <w:spacing w:line="234" w:lineRule="auto"/>
        <w:jc w:val="both"/>
        <w:rPr>
          <w:color w:val="auto"/>
          <w:sz w:val="22"/>
          <w:szCs w:val="22"/>
        </w:rPr>
      </w:pPr>
    </w:p>
    <w:sectPr w:rsidR="00D51A63" w:rsidRPr="00C53FE6" w:rsidSect="00C53FE6">
      <w:pgSz w:w="12240" w:h="20160" w:code="120"/>
      <w:pgMar w:top="480" w:right="700" w:bottom="4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C23F1E"/>
    <w:multiLevelType w:val="hybridMultilevel"/>
    <w:tmpl w:val="E7B0D000"/>
    <w:lvl w:ilvl="0" w:tplc="31BC46F8">
      <w:start w:val="1"/>
      <w:numFmt w:val="decimal"/>
      <w:lvlText w:val="%1."/>
      <w:lvlJc w:val="left"/>
      <w:pPr>
        <w:ind w:left="320" w:hanging="260"/>
      </w:pPr>
      <w:rPr>
        <w:rFonts w:ascii="Times New Roman" w:eastAsia="Times New Roman" w:hAnsi="Times New Roman" w:cs="Times New Roman"/>
        <w:b/>
        <w:bCs/>
        <w:color w:val="auto"/>
        <w:sz w:val="20"/>
        <w:szCs w:val="20"/>
      </w:rPr>
    </w:lvl>
    <w:lvl w:ilvl="1" w:tplc="AE72CB82">
      <w:numFmt w:val="decimal"/>
      <w:lvlText w:val=""/>
      <w:lvlJc w:val="left"/>
    </w:lvl>
    <w:lvl w:ilvl="2" w:tplc="AD66A1FA">
      <w:numFmt w:val="decimal"/>
      <w:lvlText w:val=""/>
      <w:lvlJc w:val="left"/>
    </w:lvl>
    <w:lvl w:ilvl="3" w:tplc="A46A1088">
      <w:numFmt w:val="decimal"/>
      <w:lvlText w:val=""/>
      <w:lvlJc w:val="left"/>
    </w:lvl>
    <w:lvl w:ilvl="4" w:tplc="B3069AE0">
      <w:numFmt w:val="decimal"/>
      <w:lvlText w:val=""/>
      <w:lvlJc w:val="left"/>
    </w:lvl>
    <w:lvl w:ilvl="5" w:tplc="EF4E3EF8">
      <w:numFmt w:val="decimal"/>
      <w:lvlText w:val=""/>
      <w:lvlJc w:val="left"/>
    </w:lvl>
    <w:lvl w:ilvl="6" w:tplc="0CA6A524">
      <w:numFmt w:val="decimal"/>
      <w:lvlText w:val=""/>
      <w:lvlJc w:val="left"/>
    </w:lvl>
    <w:lvl w:ilvl="7" w:tplc="08A863FE">
      <w:numFmt w:val="decimal"/>
      <w:lvlText w:val=""/>
      <w:lvlJc w:val="left"/>
    </w:lvl>
    <w:lvl w:ilvl="8" w:tplc="8BA4777C">
      <w:numFmt w:val="decimal"/>
      <w:lvlText w:val=""/>
      <w:lvlJc w:val="left"/>
    </w:lvl>
  </w:abstractNum>
  <w:abstractNum w:abstractNumId="1" w15:restartNumberingAfterBreak="0">
    <w:nsid w:val="3B100502"/>
    <w:multiLevelType w:val="hybridMultilevel"/>
    <w:tmpl w:val="90DA7BCC"/>
    <w:lvl w:ilvl="0" w:tplc="A5369400">
      <w:start w:val="1"/>
      <w:numFmt w:val="bullet"/>
      <w:lvlText w:val="●"/>
      <w:lvlJc w:val="left"/>
      <w:pPr>
        <w:ind w:left="720" w:hanging="360"/>
      </w:pPr>
    </w:lvl>
    <w:lvl w:ilvl="1" w:tplc="363E5206">
      <w:start w:val="1"/>
      <w:numFmt w:val="bullet"/>
      <w:lvlText w:val="○"/>
      <w:lvlJc w:val="left"/>
      <w:pPr>
        <w:ind w:left="1440" w:hanging="360"/>
      </w:pPr>
    </w:lvl>
    <w:lvl w:ilvl="2" w:tplc="45C2BAC2">
      <w:start w:val="1"/>
      <w:numFmt w:val="bullet"/>
      <w:lvlText w:val="■"/>
      <w:lvlJc w:val="left"/>
      <w:pPr>
        <w:ind w:left="2160" w:hanging="360"/>
      </w:pPr>
    </w:lvl>
    <w:lvl w:ilvl="3" w:tplc="3D623D74">
      <w:start w:val="1"/>
      <w:numFmt w:val="bullet"/>
      <w:lvlText w:val="●"/>
      <w:lvlJc w:val="left"/>
      <w:pPr>
        <w:ind w:left="2880" w:hanging="360"/>
      </w:pPr>
    </w:lvl>
    <w:lvl w:ilvl="4" w:tplc="062AC8C8">
      <w:start w:val="1"/>
      <w:numFmt w:val="bullet"/>
      <w:lvlText w:val="○"/>
      <w:lvlJc w:val="left"/>
      <w:pPr>
        <w:ind w:left="3600" w:hanging="360"/>
      </w:pPr>
    </w:lvl>
    <w:lvl w:ilvl="5" w:tplc="281891D6">
      <w:start w:val="1"/>
      <w:numFmt w:val="bullet"/>
      <w:lvlText w:val="■"/>
      <w:lvlJc w:val="left"/>
      <w:pPr>
        <w:ind w:left="4320" w:hanging="360"/>
      </w:pPr>
    </w:lvl>
    <w:lvl w:ilvl="6" w:tplc="6AD259D6">
      <w:start w:val="1"/>
      <w:numFmt w:val="bullet"/>
      <w:lvlText w:val="●"/>
      <w:lvlJc w:val="left"/>
      <w:pPr>
        <w:ind w:left="5040" w:hanging="360"/>
      </w:pPr>
    </w:lvl>
    <w:lvl w:ilvl="7" w:tplc="DA3A7EF4">
      <w:start w:val="1"/>
      <w:numFmt w:val="bullet"/>
      <w:lvlText w:val="●"/>
      <w:lvlJc w:val="left"/>
      <w:pPr>
        <w:ind w:left="5760" w:hanging="360"/>
      </w:pPr>
    </w:lvl>
    <w:lvl w:ilvl="8" w:tplc="F0B27A26">
      <w:start w:val="1"/>
      <w:numFmt w:val="bullet"/>
      <w:lvlText w:val="●"/>
      <w:lvlJc w:val="left"/>
      <w:pPr>
        <w:ind w:left="6480" w:hanging="360"/>
      </w:pPr>
    </w:lvl>
  </w:abstractNum>
  <w:abstractNum w:abstractNumId="2" w15:restartNumberingAfterBreak="0">
    <w:nsid w:val="6C391CCA"/>
    <w:multiLevelType w:val="hybridMultilevel"/>
    <w:tmpl w:val="B9348F2E"/>
    <w:lvl w:ilvl="0" w:tplc="417C8D94">
      <w:start w:val="1"/>
      <w:numFmt w:val="decimal"/>
      <w:lvlText w:val="%1."/>
      <w:lvlJc w:val="left"/>
      <w:pPr>
        <w:ind w:left="320" w:hanging="260"/>
      </w:pPr>
      <w:rPr>
        <w:rFonts w:ascii="Times New Roman" w:eastAsia="Times New Roman" w:hAnsi="Times New Roman" w:cs="Times New Roman"/>
        <w:b/>
        <w:bCs/>
        <w:color w:val="auto"/>
        <w:sz w:val="20"/>
        <w:szCs w:val="20"/>
      </w:rPr>
    </w:lvl>
    <w:lvl w:ilvl="1" w:tplc="7DE2C902">
      <w:numFmt w:val="decimal"/>
      <w:lvlText w:val=""/>
      <w:lvlJc w:val="left"/>
    </w:lvl>
    <w:lvl w:ilvl="2" w:tplc="E98412E2">
      <w:numFmt w:val="decimal"/>
      <w:lvlText w:val=""/>
      <w:lvlJc w:val="left"/>
    </w:lvl>
    <w:lvl w:ilvl="3" w:tplc="D7DE0C38">
      <w:numFmt w:val="decimal"/>
      <w:lvlText w:val=""/>
      <w:lvlJc w:val="left"/>
    </w:lvl>
    <w:lvl w:ilvl="4" w:tplc="1352949A">
      <w:numFmt w:val="decimal"/>
      <w:lvlText w:val=""/>
      <w:lvlJc w:val="left"/>
    </w:lvl>
    <w:lvl w:ilvl="5" w:tplc="4BDEE3D4">
      <w:numFmt w:val="decimal"/>
      <w:lvlText w:val=""/>
      <w:lvlJc w:val="left"/>
    </w:lvl>
    <w:lvl w:ilvl="6" w:tplc="C7ACAF56">
      <w:numFmt w:val="decimal"/>
      <w:lvlText w:val=""/>
      <w:lvlJc w:val="left"/>
    </w:lvl>
    <w:lvl w:ilvl="7" w:tplc="F1BA0906">
      <w:numFmt w:val="decimal"/>
      <w:lvlText w:val=""/>
      <w:lvlJc w:val="left"/>
    </w:lvl>
    <w:lvl w:ilvl="8" w:tplc="A418B6DC">
      <w:numFmt w:val="decimal"/>
      <w:lvlText w:val=""/>
      <w:lvlJc w:val="left"/>
    </w:lvl>
  </w:abstractNum>
  <w:abstractNum w:abstractNumId="3" w15:restartNumberingAfterBreak="0">
    <w:nsid w:val="7218547F"/>
    <w:multiLevelType w:val="hybridMultilevel"/>
    <w:tmpl w:val="1CD451B4"/>
    <w:lvl w:ilvl="0" w:tplc="D68414D2">
      <w:start w:val="1"/>
      <w:numFmt w:val="decimal"/>
      <w:lvlText w:val="%1."/>
      <w:lvlJc w:val="left"/>
      <w:pPr>
        <w:ind w:left="320" w:hanging="260"/>
      </w:pPr>
      <w:rPr>
        <w:rFonts w:ascii="Times New Roman" w:eastAsia="Times New Roman" w:hAnsi="Times New Roman" w:cs="Times New Roman"/>
        <w:b/>
        <w:bCs/>
        <w:color w:val="auto"/>
        <w:sz w:val="20"/>
        <w:szCs w:val="20"/>
      </w:rPr>
    </w:lvl>
    <w:lvl w:ilvl="1" w:tplc="B7DADBA4">
      <w:numFmt w:val="decimal"/>
      <w:lvlText w:val=""/>
      <w:lvlJc w:val="left"/>
    </w:lvl>
    <w:lvl w:ilvl="2" w:tplc="E4427DDC">
      <w:numFmt w:val="decimal"/>
      <w:lvlText w:val=""/>
      <w:lvlJc w:val="left"/>
    </w:lvl>
    <w:lvl w:ilvl="3" w:tplc="E3747CA2">
      <w:numFmt w:val="decimal"/>
      <w:lvlText w:val=""/>
      <w:lvlJc w:val="left"/>
    </w:lvl>
    <w:lvl w:ilvl="4" w:tplc="D4E28316">
      <w:numFmt w:val="decimal"/>
      <w:lvlText w:val=""/>
      <w:lvlJc w:val="left"/>
    </w:lvl>
    <w:lvl w:ilvl="5" w:tplc="79C02834">
      <w:numFmt w:val="decimal"/>
      <w:lvlText w:val=""/>
      <w:lvlJc w:val="left"/>
    </w:lvl>
    <w:lvl w:ilvl="6" w:tplc="DDA6CB50">
      <w:numFmt w:val="decimal"/>
      <w:lvlText w:val=""/>
      <w:lvlJc w:val="left"/>
    </w:lvl>
    <w:lvl w:ilvl="7" w:tplc="2F8C89CA">
      <w:numFmt w:val="decimal"/>
      <w:lvlText w:val=""/>
      <w:lvlJc w:val="left"/>
    </w:lvl>
    <w:lvl w:ilvl="8" w:tplc="85488A56">
      <w:numFmt w:val="decimal"/>
      <w:lvlText w:val=""/>
      <w:lvlJc w:val="left"/>
    </w:lvl>
  </w:abstractNum>
  <w:num w:numId="1" w16cid:durableId="406924552">
    <w:abstractNumId w:val="1"/>
    <w:lvlOverride w:ilvl="0">
      <w:startOverride w:val="1"/>
    </w:lvlOverride>
  </w:num>
  <w:num w:numId="2" w16cid:durableId="966273219">
    <w:abstractNumId w:val="2"/>
    <w:lvlOverride w:ilvl="0">
      <w:startOverride w:val="1"/>
    </w:lvlOverride>
  </w:num>
  <w:num w:numId="3" w16cid:durableId="535700526">
    <w:abstractNumId w:val="3"/>
    <w:lvlOverride w:ilvl="0">
      <w:startOverride w:val="1"/>
    </w:lvlOverride>
  </w:num>
  <w:num w:numId="4" w16cid:durableId="589235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A63"/>
    <w:rsid w:val="002003C0"/>
    <w:rsid w:val="00902ECA"/>
    <w:rsid w:val="00C53FE6"/>
    <w:rsid w:val="00D51A63"/>
    <w:rsid w:val="00FB6D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118E6"/>
  <w15:docId w15:val="{077846C4-2899-4A37-AFF4-B9646EEB2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11111"/>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851</Words>
  <Characters>4686</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de accion preventiva a la Procuraduria. Reserva La Baja</dc:title>
  <dc:creator>Comite para la Defensa del Agua y del Paramo de Santurban</dc:creator>
  <cp:lastModifiedBy>HERNAN MORANTES</cp:lastModifiedBy>
  <cp:revision>4</cp:revision>
  <dcterms:created xsi:type="dcterms:W3CDTF">2026-08-26T21:07:00Z</dcterms:created>
  <dcterms:modified xsi:type="dcterms:W3CDTF">2026-08-26T21:08:00Z</dcterms:modified>
</cp:coreProperties>
</file>