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9EB54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系统接口设计</w:t>
      </w:r>
    </w:p>
    <w:p w14:paraId="1D6DF4B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本章对“寻味地理”风味博物志 WebGIS 系统的外部接口、前后端业务接口、地图瓦片接口、系统状态接口、数据流和错误处理约定进行说明。接口设计以浏览器端 WebGIS 应用为服务对象，重点保证地图展示、风味浏览、传播路径展示、食材传播、叙事阅读和数据来源说明能够稳定获取数据。面向后续产业化演进，接口还应保持结构稳定和语义清楚，使同一批风味数据能够被专题页面、展陈大屏或外部系统复用。</w:t>
      </w:r>
    </w:p>
    <w:p w14:paraId="2E7264E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外部接口</w:t>
      </w:r>
    </w:p>
    <w:p w14:paraId="14BF56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与外部数据源的接口</w:t>
      </w:r>
    </w:p>
    <w:p w14:paraId="2DB38B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Natural Earth 数据接口</w:t>
      </w:r>
    </w:p>
    <w:p w14:paraId="04AC9EE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系统使用 Natural Earth 高程分层设色栅格底图和物理矢量数据作为基础地理数据来源。该接口属于离线数据接入接口，不在用户访问时实时调用外部服务。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2146"/>
        <w:gridCol w:w="2147"/>
        <w:gridCol w:w="2147"/>
      </w:tblGrid>
      <w:tr w14:paraId="0D5F9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9E25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接口对象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21082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数据内容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985E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接入方式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6A1A4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系统用途</w:t>
            </w:r>
          </w:p>
        </w:tc>
      </w:tr>
      <w:tr w14:paraId="3764B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26CB7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高程分层设色栅格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CE193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全球自然地形背景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E2FC6D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本地文件读取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3E87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生成栅格地图瓦片</w:t>
            </w:r>
          </w:p>
        </w:tc>
      </w:tr>
      <w:tr w14:paraId="258DA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5755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海岸线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3BC1D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全球海岸线矢量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1CF47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本地矢量数据加载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6B4DF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地图物理边界展示</w:t>
            </w:r>
          </w:p>
        </w:tc>
      </w:tr>
      <w:tr w14:paraId="37D59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ADA5DE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河流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D8828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全球河流矢量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5DCE8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本地矢量数据加载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04C2B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地图水系参照</w:t>
            </w:r>
          </w:p>
        </w:tc>
      </w:tr>
      <w:tr w14:paraId="5A592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8A21C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陆地轮廓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D70B3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全球陆地矢量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E6E2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本地矢量数据加载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CF0A50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地图陆海背景参照</w:t>
            </w:r>
          </w:p>
        </w:tc>
      </w:tr>
    </w:tbl>
    <w:p w14:paraId="38FDF80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外部数据更新时，应先完成数据格式检查、坐标系检查和基本渲染检查，再进入系统数据目录。</w:t>
      </w:r>
    </w:p>
    <w:p w14:paraId="51629B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WWF TEOW 数据接口</w:t>
      </w:r>
    </w:p>
    <w:p w14:paraId="30FAF4A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系统使用 WWF TEOW 全球陆地生态区划作为生态地理单元来源。该接口同样属于离线数据接入接口，生态区数据经整理后进入空间数据库。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712"/>
        <w:gridCol w:w="1510"/>
        <w:gridCol w:w="2026"/>
      </w:tblGrid>
      <w:tr w14:paraId="1057C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80B8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接口对象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5DD3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数据内容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7BC34A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接入方式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A7DCE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系统用途</w:t>
            </w:r>
          </w:p>
        </w:tc>
      </w:tr>
      <w:tr w14:paraId="6070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8E8BD8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生态区边界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D5324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MultiPolygon 面状几何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0BE69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空间数据库导入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45E4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生态区图层和点击查询</w:t>
            </w:r>
          </w:p>
        </w:tc>
      </w:tr>
      <w:tr w14:paraId="43FA0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71D46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生态区属性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B1D1C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名称、编码、生物群系、生物地理界、面积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1ECE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属性字段映射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9C5B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详情面板和数据解释</w:t>
            </w:r>
          </w:p>
        </w:tc>
      </w:tr>
      <w:tr w14:paraId="1EC6E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CFCC0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中文补充属性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8A759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中文名称、中文类型说明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FA2ACB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人工整理或映射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2C134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面向公众展示</w:t>
            </w:r>
          </w:p>
        </w:tc>
      </w:tr>
    </w:tbl>
    <w:p w14:paraId="308644C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生态区数据接入后，应保证边界几何有效、坐标系一致、属性字段可读。</w:t>
      </w:r>
    </w:p>
    <w:p w14:paraId="1CEA74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媒体与文本来源接口</w:t>
      </w:r>
    </w:p>
    <w:p w14:paraId="2734091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系统涉及图片材料、饮食文化材料、地方美食志、古籍和研究资料等来源。此类数据不应由前端直接抓取，而应在系统数据整理阶段确定可用资源和引用说明。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7"/>
        <w:gridCol w:w="6859"/>
      </w:tblGrid>
      <w:tr w14:paraId="07700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CE23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数据类型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97D7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接口要求</w:t>
            </w:r>
          </w:p>
        </w:tc>
      </w:tr>
      <w:tr w14:paraId="26910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C930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图片资源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D1FC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记录来源链接、授权说明和用途，无法稳定加载时提供占位展示</w:t>
            </w:r>
          </w:p>
        </w:tc>
      </w:tr>
      <w:tr w14:paraId="03E2C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89C27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文本材料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663E0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记录材料名称、作者或来源、引用内容和整理用途</w:t>
            </w:r>
          </w:p>
        </w:tc>
      </w:tr>
      <w:tr w14:paraId="55C75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BB0181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LLM 辅助结果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13E6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记录原始材料、抽取结果、审核状态和入库状态</w:t>
            </w:r>
          </w:p>
        </w:tc>
      </w:tr>
    </w:tbl>
    <w:p w14:paraId="330C5C1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外部数据接入不应直接等同于线上实时调用。当前系统以离线整理、入库和本地服务输出为主，能够降低外部服务不可用对页面展示的影响。后续若接入第三方图片、知识库或内容审核服务，应在服务层进行缓存和降级处理，避免前端直接依赖不稳定外部资源。</w:t>
      </w:r>
    </w:p>
    <w:p w14:paraId="6F099F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与浏览器的接口</w:t>
      </w:r>
    </w:p>
    <w:p w14:paraId="73B6046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浏览器通过 HTTP 请求访问前端静态资源、业务数据接口和地图瓦片接口。系统应支持现代浏览器的 JavaScript、WebGL、JSON 解析和图片瓦片加载能力。</w:t>
      </w:r>
    </w:p>
    <w:p w14:paraId="4FA325F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浏览器端接口交互应满足以下要求：</w:t>
      </w:r>
    </w:p>
    <w:p w14:paraId="6A02CB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所有业务数据接口返回 JSON 数据；</w:t>
      </w:r>
    </w:p>
    <w:p w14:paraId="10100E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栅格瓦片接口返回 PNG 图片；</w:t>
      </w:r>
    </w:p>
    <w:p w14:paraId="29C100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矢量图层接口返回 GeoJSON 或 MVT 数据；</w:t>
      </w:r>
    </w:p>
    <w:p w14:paraId="143398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接口响应应设置合理缓存策略，减少重复请求；</w:t>
      </w:r>
    </w:p>
    <w:p w14:paraId="7D2DB3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生产环境应通过 HTTPS 提供访问能力；</w:t>
      </w:r>
    </w:p>
    <w:p w14:paraId="2E0665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面向外部复用的接口应预留版本号、权限和调用统计机制。</w:t>
      </w:r>
    </w:p>
    <w:p w14:paraId="73034DD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内部接口</w:t>
      </w:r>
    </w:p>
    <w:p w14:paraId="28253F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前后端接口设计</w:t>
      </w:r>
    </w:p>
    <w:p w14:paraId="55028CF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数据格式约定</w:t>
      </w:r>
    </w:p>
    <w:p w14:paraId="3DACBD0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系统前后端接口主要采用 JSON 格式交换业务数据。接口字段命名保持稳定，前端不直接依赖数据库内部字段名。</w:t>
      </w:r>
    </w:p>
    <w:p w14:paraId="0192CF0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通用约定如下：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4"/>
        <w:gridCol w:w="6802"/>
      </w:tblGrid>
      <w:tr w14:paraId="44F44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74E7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BE34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约定</w:t>
            </w:r>
          </w:p>
        </w:tc>
      </w:tr>
      <w:tr w14:paraId="7FF44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57716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字符编码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0FE37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UTF-8</w:t>
            </w:r>
          </w:p>
        </w:tc>
      </w:tr>
      <w:tr w14:paraId="3533E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1FEE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时间与年代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899E9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以展示型字符串为主，必要时补充排序字段</w:t>
            </w:r>
          </w:p>
        </w:tc>
      </w:tr>
      <w:tr w14:paraId="2F1B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B2200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坐标顺序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5E373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经度在前，纬度在后</w:t>
            </w:r>
          </w:p>
        </w:tc>
      </w:tr>
      <w:tr w14:paraId="6E809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6166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空间几何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04F3C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点以坐标数组表达，路线以坐标数组或矢量格式表达</w:t>
            </w:r>
          </w:p>
        </w:tc>
      </w:tr>
      <w:tr w14:paraId="2C00B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06C2F4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颜色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2D2B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使用十六进制颜色字符串</w:t>
            </w:r>
          </w:p>
        </w:tc>
      </w:tr>
      <w:tr w14:paraId="6680B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C8EC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空结果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62B5C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返回空数组或空对象，不返回未定义结构</w:t>
            </w:r>
          </w:p>
        </w:tc>
      </w:tr>
    </w:tbl>
    <w:p w14:paraId="10AEAA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业务数据接口</w:t>
      </w:r>
    </w:p>
    <w:p w14:paraId="69180B3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/api/flavors</w:t>
      </w:r>
    </w:p>
    <w:p w14:paraId="6E9F82A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 xml:space="preserve">接口用途：获取风味节点展示数据，用于地图节点展示、风味基因库卡片和搜索结果对象定位。该接口当前由数据库 </w:t>
      </w:r>
      <w:r>
        <w:rPr>
          <w:rStyle w:val="13"/>
          <w:color w:val="1F1F1F"/>
        </w:rPr>
        <w:t>flavor_genotype</w:t>
      </w:r>
      <w:r>
        <w:rPr>
          <w:rFonts w:ascii="宋体" w:hAnsi="宋体" w:eastAsia="宋体" w:cs="宋体"/>
          <w:color w:val="1F1F1F"/>
          <w:sz w:val="22"/>
          <w:szCs w:val="22"/>
        </w:rPr>
        <w:t>、</w:t>
      </w:r>
      <w:r>
        <w:rPr>
          <w:rStyle w:val="13"/>
          <w:color w:val="1F1F1F"/>
        </w:rPr>
        <w:t>recipe_link</w:t>
      </w:r>
      <w:r>
        <w:rPr>
          <w:rFonts w:ascii="宋体" w:hAnsi="宋体" w:eastAsia="宋体" w:cs="宋体"/>
          <w:color w:val="1F1F1F"/>
          <w:sz w:val="22"/>
          <w:szCs w:val="22"/>
        </w:rPr>
        <w:t xml:space="preserve"> 和 </w:t>
      </w:r>
      <w:r>
        <w:rPr>
          <w:rStyle w:val="13"/>
          <w:color w:val="1F1F1F"/>
        </w:rPr>
        <w:t>ingredient</w:t>
      </w:r>
      <w:r>
        <w:rPr>
          <w:rFonts w:ascii="宋体" w:hAnsi="宋体" w:eastAsia="宋体" w:cs="宋体"/>
          <w:color w:val="1F1F1F"/>
          <w:sz w:val="22"/>
          <w:szCs w:val="22"/>
        </w:rPr>
        <w:t xml:space="preserve"> 等表组合生成，但前端不需要感知内部表结构。</w:t>
      </w:r>
    </w:p>
    <w:p w14:paraId="0711AA4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3E0AC8E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响应类型：JSON 数组。</w:t>
      </w:r>
    </w:p>
    <w:p w14:paraId="582AC87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主要响应字段：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7"/>
        <w:gridCol w:w="1633"/>
        <w:gridCol w:w="3446"/>
      </w:tblGrid>
      <w:tr w14:paraId="0648B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7D1A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927A3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3C9C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7A95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51B7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BF9D87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51E65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风味节点稳定标识</w:t>
            </w:r>
          </w:p>
        </w:tc>
      </w:tr>
      <w:tr w14:paraId="334CC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5E23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145C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CBC99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城市或地域名称</w:t>
            </w:r>
          </w:p>
        </w:tc>
      </w:tr>
      <w:tr w14:paraId="7E513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2620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dish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86B8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FDA5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菜品名称</w:t>
            </w:r>
          </w:p>
        </w:tc>
      </w:tr>
      <w:tr w14:paraId="5A505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0ED35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dish_family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8F513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B53D3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食物类型</w:t>
            </w:r>
          </w:p>
        </w:tc>
      </w:tr>
      <w:tr w14:paraId="75E35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05B60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region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7DCFE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80A309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区域标签</w:t>
            </w:r>
          </w:p>
        </w:tc>
      </w:tr>
      <w:tr w14:paraId="1DD4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A4EE1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eco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6910D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DDE95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生态展示标签</w:t>
            </w:r>
          </w:p>
        </w:tc>
      </w:tr>
      <w:tr w14:paraId="778FC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807C0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eco_name_ref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4EDEF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93E9A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关联生态区名称</w:t>
            </w:r>
          </w:p>
        </w:tc>
      </w:tr>
      <w:tr w14:paraId="69D3A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BF04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scores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4401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B6EA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六维风味向量展示数组</w:t>
            </w:r>
          </w:p>
        </w:tc>
      </w:tr>
      <w:tr w14:paraId="3BA8F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AEF54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FC2C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A248F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主风味标签</w:t>
            </w:r>
          </w:p>
        </w:tc>
      </w:tr>
      <w:tr w14:paraId="5496B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24574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vals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DDB80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7535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主风味数值</w:t>
            </w:r>
          </w:p>
        </w:tc>
      </w:tr>
      <w:tr w14:paraId="7E63C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1EC9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F408A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074D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展示颜色</w:t>
            </w:r>
          </w:p>
        </w:tc>
      </w:tr>
      <w:tr w14:paraId="52762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596B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cat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13D8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D57EE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风味分类</w:t>
            </w:r>
          </w:p>
        </w:tc>
      </w:tr>
      <w:tr w14:paraId="4E17A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31CF8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ingredients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F0DA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2AAEC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食材名称列表</w:t>
            </w:r>
          </w:p>
        </w:tc>
      </w:tr>
      <w:tr w14:paraId="3F26B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5385FE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coordinates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74638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D510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节点坐标</w:t>
            </w:r>
          </w:p>
        </w:tc>
      </w:tr>
      <w:tr w14:paraId="7EBB1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12DCD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genome_vector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B9FD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object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A04971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六维风味向量对象</w:t>
            </w:r>
          </w:p>
        </w:tc>
      </w:tr>
      <w:tr w14:paraId="34A74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8B7F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A800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0CBF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风味描述</w:t>
            </w:r>
          </w:p>
        </w:tc>
      </w:tr>
      <w:tr w14:paraId="0D91A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849BA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bubbleImage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4C9A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C73F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节点图片或占位图</w:t>
            </w:r>
          </w:p>
        </w:tc>
      </w:tr>
      <w:tr w14:paraId="1D218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6E612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bubbleImageSource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60669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5B4C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图片来源</w:t>
            </w:r>
          </w:p>
        </w:tc>
      </w:tr>
    </w:tbl>
    <w:p w14:paraId="2AAD994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/api/routes</w:t>
      </w:r>
    </w:p>
    <w:p w14:paraId="78A28BA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接口用途：获取传播路径列表，用于地图路线展示、流光动画和叙事章节关联。</w:t>
      </w:r>
    </w:p>
    <w:p w14:paraId="5C163B1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4D0D6A1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响应类型：JSON 数组。</w:t>
      </w:r>
    </w:p>
    <w:p w14:paraId="383462C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主要响应字段：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2097"/>
        <w:gridCol w:w="5047"/>
      </w:tblGrid>
      <w:tr w14:paraId="31454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E84996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06CAE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606E3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3CFC4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AA9E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161356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24296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路线名称</w:t>
            </w:r>
          </w:p>
        </w:tc>
      </w:tr>
      <w:tr w14:paraId="04753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51A906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FB7A34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D557B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路线展示颜色</w:t>
            </w:r>
          </w:p>
        </w:tc>
      </w:tr>
      <w:tr w14:paraId="2E48F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741EFE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0CA0BF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AD9ADB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路线类型，取值为 land 或 sea</w:t>
            </w:r>
          </w:p>
        </w:tc>
      </w:tr>
      <w:tr w14:paraId="2E799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B206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path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9567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number[][]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FDC5D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路径坐标数组</w:t>
            </w:r>
          </w:p>
        </w:tc>
      </w:tr>
    </w:tbl>
    <w:p w14:paraId="5AC1B4C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/api/search</w:t>
      </w:r>
    </w:p>
    <w:p w14:paraId="5CF9F3C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接口用途：根据关键词搜索风味节点和传播路径，用于全局搜索和地图跳转。</w:t>
      </w:r>
    </w:p>
    <w:p w14:paraId="48A34A3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8"/>
        <w:gridCol w:w="2147"/>
        <w:gridCol w:w="1659"/>
        <w:gridCol w:w="3122"/>
      </w:tblGrid>
      <w:tr w14:paraId="62A01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015F50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参数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5AB70C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4492B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必填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1536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79B32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88B3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18C8F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4B7C0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7A97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搜索关键词</w:t>
            </w:r>
          </w:p>
        </w:tc>
      </w:tr>
    </w:tbl>
    <w:p w14:paraId="0C6EA27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响应类型：JSON 数组。</w:t>
      </w:r>
    </w:p>
    <w:p w14:paraId="22E1616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主要响应字段：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1"/>
        <w:gridCol w:w="1561"/>
        <w:gridCol w:w="5464"/>
      </w:tblGrid>
      <w:tr w14:paraId="284FF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E8B7D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FF03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68778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4391C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163B0A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59CE5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7DF28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结果类型，node 或 route</w:t>
            </w:r>
          </w:p>
        </w:tc>
      </w:tr>
      <w:tr w14:paraId="7944F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B72E7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label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CE42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0FB3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结果主标题</w:t>
            </w:r>
          </w:p>
        </w:tc>
      </w:tr>
      <w:tr w14:paraId="3482F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E990B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sub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0E1A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0427F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结果副标题</w:t>
            </w:r>
          </w:p>
        </w:tc>
      </w:tr>
      <w:tr w14:paraId="4FC7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65342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ADC65E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CBD6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结果颜色</w:t>
            </w:r>
          </w:p>
        </w:tc>
      </w:tr>
      <w:tr w14:paraId="41BB4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D979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F33DA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object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5DC6B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可直接用于地图选择的对象数据</w:t>
            </w:r>
          </w:p>
        </w:tc>
      </w:tr>
    </w:tbl>
    <w:p w14:paraId="6AADDBD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当关键词为空时，接口返回空数组。</w:t>
      </w:r>
    </w:p>
    <w:p w14:paraId="1FFA2A9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/api/chapters</w:t>
      </w:r>
    </w:p>
    <w:p w14:paraId="2C7D23A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接口用途：获取时空叙事馆章节列表。</w:t>
      </w:r>
    </w:p>
    <w:p w14:paraId="1BB9A8C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46A42E9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响应类型：JSON 数组。</w:t>
      </w:r>
    </w:p>
    <w:p w14:paraId="51E424F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主要响应字段：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9"/>
        <w:gridCol w:w="2031"/>
        <w:gridCol w:w="3416"/>
      </w:tblGrid>
      <w:tr w14:paraId="7C058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D8C09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ADA75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62626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425DE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492DA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9B8AF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772F8A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章节编号</w:t>
            </w:r>
          </w:p>
        </w:tc>
      </w:tr>
      <w:tr w14:paraId="79721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C73D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40DE0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49B86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章节标题</w:t>
            </w:r>
          </w:p>
        </w:tc>
      </w:tr>
      <w:tr w14:paraId="42441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F870BD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CFAF1A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CBE6F7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年代标签</w:t>
            </w:r>
          </w:p>
        </w:tc>
      </w:tr>
      <w:tr w14:paraId="27A1F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8E1E9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A16BC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14F0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正文内容</w:t>
            </w:r>
          </w:p>
        </w:tc>
      </w:tr>
      <w:tr w14:paraId="5C02E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9DB64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cite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912B0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B5BA6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引用说明</w:t>
            </w:r>
          </w:p>
        </w:tc>
      </w:tr>
      <w:tr w14:paraId="07C37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BFD0E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42494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B6DB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来源</w:t>
            </w:r>
          </w:p>
        </w:tc>
      </w:tr>
      <w:tr w14:paraId="14D13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F1B57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routeName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DD9C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1983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关联传播路线</w:t>
            </w:r>
          </w:p>
        </w:tc>
      </w:tr>
    </w:tbl>
    <w:p w14:paraId="374D7DB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/api/data-sources</w:t>
      </w:r>
    </w:p>
    <w:p w14:paraId="49C5B0D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接口用途：获取系统数据来源列表，用于关于与方法说明页面展示。</w:t>
      </w:r>
    </w:p>
    <w:p w14:paraId="2A7EAA7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04DCCC0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响应类型：JSON 数组。</w:t>
      </w:r>
    </w:p>
    <w:p w14:paraId="35F4AAE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主要响应字段：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2"/>
        <w:gridCol w:w="2332"/>
        <w:gridCol w:w="3922"/>
      </w:tblGrid>
      <w:tr w14:paraId="4F370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3C0DD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9A5F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4B370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1E6B4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0CFFA9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6863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97B8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数据来源名称</w:t>
            </w:r>
          </w:p>
        </w:tc>
      </w:tr>
      <w:tr w14:paraId="0F914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D58D8E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desc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8CE23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3BE68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来源说明</w:t>
            </w:r>
          </w:p>
        </w:tc>
      </w:tr>
      <w:tr w14:paraId="0287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CC991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F4992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F8711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展示颜色</w:t>
            </w:r>
          </w:p>
        </w:tc>
      </w:tr>
      <w:tr w14:paraId="60B3E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D68E9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0AE2D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50400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来源链接</w:t>
            </w:r>
          </w:p>
        </w:tc>
      </w:tr>
    </w:tbl>
    <w:p w14:paraId="4FED7FC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/api/ingredients/spread</w:t>
      </w:r>
    </w:p>
    <w:p w14:paraId="5CA1AF5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接口用途：获取可用于食材传播页面的食材主题概要列表，包括食材编号、名称、物种、起源地、起源坐标、摘要、主题色、事件数量和年份范围。</w:t>
      </w:r>
    </w:p>
    <w:p w14:paraId="5819FE2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6E55A54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响应类型：JSON 数组。前端使用该接口生成食材选择列表，并决定默认展示的传播主题。</w:t>
      </w:r>
    </w:p>
    <w:p w14:paraId="1EFCA11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/api/ingredients/spread/{ingredient_id}</w:t>
      </w:r>
    </w:p>
    <w:p w14:paraId="2025488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接口用途：获取单个食材的完整传播数据，包括起源信息、时间线事件、参考文献和可视化参数。该接口主要服务于食材传播页面的右侧说明、时间线和地图节点渲染。</w:t>
      </w:r>
    </w:p>
    <w:p w14:paraId="03C39F1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路径参数：</w:t>
      </w:r>
      <w:r>
        <w:rPr>
          <w:rStyle w:val="13"/>
          <w:color w:val="1F1F1F"/>
        </w:rPr>
        <w:t>ingredient_id</w:t>
      </w:r>
      <w:r>
        <w:rPr>
          <w:rFonts w:ascii="宋体" w:hAnsi="宋体" w:eastAsia="宋体" w:cs="宋体"/>
          <w:color w:val="1F1F1F"/>
          <w:sz w:val="22"/>
          <w:szCs w:val="22"/>
        </w:rPr>
        <w:t>，表示食材主题编号。</w:t>
      </w:r>
    </w:p>
    <w:p w14:paraId="5794DC4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异常情况：当食材编号不存在时返回 404，并给出可用编号提示。</w:t>
      </w:r>
    </w:p>
    <w:p w14:paraId="6C86A52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/api/ingredients/spread/{ingredient_id}/path</w:t>
      </w:r>
    </w:p>
    <w:p w14:paraId="5757CE3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接口用途：获取单个食材按时间顺序生成的路径坐标和路径段信息。前端可使用该接口绘制传播路径、节点标记和阶段性镜头移动。</w:t>
      </w:r>
    </w:p>
    <w:p w14:paraId="6D681A1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路径参数：</w:t>
      </w:r>
      <w:r>
        <w:rPr>
          <w:rStyle w:val="13"/>
          <w:color w:val="1F1F1F"/>
        </w:rPr>
        <w:t>ingredient_id</w:t>
      </w:r>
      <w:r>
        <w:rPr>
          <w:rFonts w:ascii="宋体" w:hAnsi="宋体" w:eastAsia="宋体" w:cs="宋体"/>
          <w:color w:val="1F1F1F"/>
          <w:sz w:val="22"/>
          <w:szCs w:val="22"/>
        </w:rPr>
        <w:t>，表示食材主题编号。</w:t>
      </w:r>
    </w:p>
    <w:p w14:paraId="379283E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设计要求：接口返回的路径用于宏观传播叙事，不表示精确历史轨迹；每个节点应尽量关联时间、地点、路线描述和来源信息，便于后续进行专题审核和内容复用。</w:t>
      </w:r>
    </w:p>
    <w:p w14:paraId="362CA26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瓦片服务接口</w:t>
      </w:r>
    </w:p>
    <w:p w14:paraId="74520FC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/tiles/raster/{z}/{x}/{y}.png</w:t>
      </w:r>
    </w:p>
    <w:p w14:paraId="5835B2D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接口用途：按 XYZ 瓦片规则获取 Natural Earth 栅格底图瓦片。</w:t>
      </w:r>
    </w:p>
    <w:p w14:paraId="68E96D7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路径参数：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2485"/>
        <w:gridCol w:w="4180"/>
      </w:tblGrid>
      <w:tr w14:paraId="5AD18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07B79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参数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00674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F93CFF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FA9B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5FE6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z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2F9B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FCB75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缩放等级</w:t>
            </w:r>
          </w:p>
        </w:tc>
      </w:tr>
      <w:tr w14:paraId="66D24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23E7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725D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6014C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瓦片横向编号</w:t>
            </w:r>
          </w:p>
        </w:tc>
      </w:tr>
      <w:tr w14:paraId="1BD2E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9194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130EDD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7A500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瓦片纵向编号</w:t>
            </w:r>
          </w:p>
        </w:tc>
      </w:tr>
    </w:tbl>
    <w:p w14:paraId="6EA87F6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响应类型：PNG 图片。</w:t>
      </w:r>
    </w:p>
    <w:p w14:paraId="1EE23B5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异常情况：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153CE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91F81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5FBA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5AFB6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AE6BD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CB76F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缩放等级超出服务范围</w:t>
            </w:r>
          </w:p>
        </w:tc>
      </w:tr>
      <w:tr w14:paraId="0C3FB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AB36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503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D5108E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栅格底图尚不可用</w:t>
            </w:r>
          </w:p>
        </w:tc>
      </w:tr>
    </w:tbl>
    <w:p w14:paraId="1AB220E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对于超出栅格边界的请求，系统应返回透明占位瓦片，避免地图渲染中断。</w:t>
      </w:r>
    </w:p>
    <w:p w14:paraId="3985043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/tiles/vector/{layer}</w:t>
      </w:r>
    </w:p>
    <w:p w14:paraId="1BCEFB0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接口用途：获取指定矢量图层的 GeoJSON 数据。</w:t>
      </w:r>
    </w:p>
    <w:p w14:paraId="72CFA59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路径参数：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4C95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105E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参数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922A6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E4DA9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16468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05405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D9FA7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85D5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图层名称</w:t>
            </w:r>
          </w:p>
        </w:tc>
      </w:tr>
    </w:tbl>
    <w:p w14:paraId="696E17D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可用图层包括 coastline、rivers、land、ecoregions 等。</w:t>
      </w:r>
    </w:p>
    <w:p w14:paraId="259BE82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响应类型：GeoJSON FeatureCollection。</w:t>
      </w:r>
    </w:p>
    <w:p w14:paraId="556432E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异常情况：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4900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529C5F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A361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29E7B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5AC6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A537C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请求图层不存在或尚未加载</w:t>
            </w:r>
          </w:p>
        </w:tc>
      </w:tr>
    </w:tbl>
    <w:p w14:paraId="75E5231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/tiles/vector</w:t>
      </w:r>
    </w:p>
    <w:p w14:paraId="21EA181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接口用途：获取当前可用矢量图层列表及要素数量。</w:t>
      </w:r>
    </w:p>
    <w:p w14:paraId="0EC6017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3323464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响应示例结构：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3969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480C50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9F0E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834F4C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47195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0CEC7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layers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370CC4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object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EE455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图层名称与要素数量映射</w:t>
            </w:r>
          </w:p>
        </w:tc>
      </w:tr>
    </w:tbl>
    <w:p w14:paraId="75F7AD4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/tiles/mvt/{z}/{x}/{y}.pbf</w:t>
      </w:r>
    </w:p>
    <w:p w14:paraId="202EFAA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接口用途：获取生态区边界矢量瓦片，用于后续高性能地图图层展示。</w:t>
      </w:r>
    </w:p>
    <w:p w14:paraId="7D17CDA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路径参数：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59E6F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B100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参数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814B6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D3138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75AE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45625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z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B78A10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0AEB5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缩放等级</w:t>
            </w:r>
          </w:p>
        </w:tc>
      </w:tr>
      <w:tr w14:paraId="1ABAB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EE388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E62DAB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90777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瓦片横向编号</w:t>
            </w:r>
          </w:p>
        </w:tc>
      </w:tr>
      <w:tr w14:paraId="5A10F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453A4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17584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862B7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瓦片纵向编号</w:t>
            </w:r>
          </w:p>
        </w:tc>
      </w:tr>
    </w:tbl>
    <w:p w14:paraId="7171B72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响应类型：Mapbox Vector Tile 二进制数据。</w:t>
      </w:r>
    </w:p>
    <w:p w14:paraId="08A26B8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当瓦片内无生态区要素或查询异常时，接口应返回空矢量瓦片响应，避免前端地图报错。</w:t>
      </w:r>
    </w:p>
    <w:p w14:paraId="667ECAE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/tiles/status</w:t>
      </w:r>
    </w:p>
    <w:p w14:paraId="0848024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接口用途：获取瓦片服务状态，用于地图初始化检查和调试显示。</w:t>
      </w:r>
    </w:p>
    <w:p w14:paraId="581C9AC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1D86614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主要响应字段：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B3C9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1121E0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B1F57C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1F40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400B8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EB03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raster_ready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CBABF6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boolean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E34C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栅格底图是否可用</w:t>
            </w:r>
          </w:p>
        </w:tc>
      </w:tr>
      <w:tr w14:paraId="4D90E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07AA0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vector_layers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6295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70A666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已加载矢量图层</w:t>
            </w:r>
          </w:p>
        </w:tc>
      </w:tr>
      <w:tr w14:paraId="02226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A0ABD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tile_cache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F15249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object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97AC67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瓦片缓存状态</w:t>
            </w:r>
          </w:p>
        </w:tc>
      </w:tr>
    </w:tbl>
    <w:p w14:paraId="783A26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系统状态接口</w:t>
      </w:r>
    </w:p>
    <w:p w14:paraId="768E1D9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 xml:space="preserve">GET </w:t>
      </w:r>
      <w:r>
        <w:rPr>
          <w:rStyle w:val="13"/>
        </w:rPr>
        <w:t>/health</w:t>
      </w:r>
    </w:p>
    <w:p w14:paraId="079057A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接口用途：检查后端服务是否可用。</w:t>
      </w:r>
    </w:p>
    <w:p w14:paraId="2349C95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请求参数：无。</w:t>
      </w:r>
    </w:p>
    <w:p w14:paraId="6081976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主要响应字段：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566B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C9353A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341F4B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A764F1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5DCE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E39BA4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41C24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13A39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服务状态</w:t>
            </w:r>
          </w:p>
        </w:tc>
      </w:tr>
      <w:tr w14:paraId="78A5F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D5ADCB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raster_ready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0C816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boolean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D284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栅格底图是否可用</w:t>
            </w:r>
          </w:p>
        </w:tc>
      </w:tr>
      <w:tr w14:paraId="50C96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20D0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Style w:val="13"/>
                <w:rFonts w:ascii="宋体" w:hAnsi="宋体" w:eastAsia="宋体" w:cs="宋体"/>
                <w:color w:val="1F1F1F"/>
                <w:sz w:val="24"/>
                <w:szCs w:val="24"/>
              </w:rPr>
              <w:t>vector_layers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DA1E3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string[]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532730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已加载矢量图层</w:t>
            </w:r>
          </w:p>
        </w:tc>
      </w:tr>
    </w:tbl>
    <w:p w14:paraId="10E261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子系统间的数据流设计</w:t>
      </w:r>
    </w:p>
    <w:p w14:paraId="08F75B8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数据查询流</w:t>
      </w:r>
    </w:p>
    <w:p w14:paraId="208053C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用户访问页面后，浏览器根据页面类型请求业务数据或瓦片数据。地图页加载风味节点、传播路径、底图瓦片和矢量图层；风味基因库加载风味节点；时空叙事馆加载章节和路线；食材传播页面加载食材主题、完整时间线和路径坐标；关于页面加载数据来源。后端从数据库、专题 JSON 或基础数据文件读取数据，经格式化后返回浏览器。</w:t>
      </w:r>
    </w:p>
    <w:p w14:paraId="1D78E5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搜索定位流</w:t>
      </w:r>
    </w:p>
    <w:p w14:paraId="1413C96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用户输入关键词后，浏览器调用搜索接口。后端返回节点或路线类型的搜索结果。用户点击结果后，前端将结果对象写入当前选择状态，并跳转或定位到地图对应对象。</w:t>
      </w:r>
    </w:p>
    <w:p w14:paraId="26E5D2B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数据写入流</w:t>
      </w:r>
    </w:p>
    <w:p w14:paraId="3E543E4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当前用户界面不提供在线编辑入口。风味节点、传播事件、食材、食材传播专题和叙事章节通过离线整理、审核和批量导入流程进入数据库或专题数据文件。后续如建设管理后台，应另行设计登录、权限、审核、版本发布和写入接口。</w:t>
      </w:r>
    </w:p>
    <w:p w14:paraId="39B44F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接口错误码约定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FBD5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BC5273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状态码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EF81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适用场景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E8AD0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处理方式</w:t>
            </w:r>
          </w:p>
        </w:tc>
      </w:tr>
      <w:tr w14:paraId="31DF8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DDCF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200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34AFE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请求成功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27D9E9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返回目标数据</w:t>
            </w:r>
          </w:p>
        </w:tc>
      </w:tr>
      <w:tr w14:paraId="59A61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1B00D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400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55B75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请求参数不符合要求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E1622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返回错误说明，前端提示用户</w:t>
            </w:r>
          </w:p>
        </w:tc>
      </w:tr>
      <w:tr w14:paraId="78047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64E915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404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8F31EA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请求资源不存在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8104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返回错误说明，前端显示空状态或提示</w:t>
            </w:r>
          </w:p>
        </w:tc>
      </w:tr>
      <w:tr w14:paraId="7DCDB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9653EE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503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4491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依赖数据或服务尚不可用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58C5CA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前端显示加载失败或稍后重试提示</w:t>
            </w:r>
          </w:p>
        </w:tc>
      </w:tr>
      <w:tr w14:paraId="22E91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CE48A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500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4182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服务端异常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CE90FE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记录错误并返回通用错误说明</w:t>
            </w:r>
          </w:p>
        </w:tc>
      </w:tr>
    </w:tbl>
    <w:p w14:paraId="1570F38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前后端接口调用约定</w:t>
      </w:r>
    </w:p>
    <w:p w14:paraId="017A4B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前端应将接口调用与页面状态分离，避免单个请求失败导致整个页面不可用；</w:t>
      </w:r>
    </w:p>
    <w:p w14:paraId="1C954D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列表类接口应按稳定结构返回数组，即使无数据也应返回空数组；</w:t>
      </w:r>
    </w:p>
    <w:p w14:paraId="669A50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地图瓦片请求失败时，前端应尽量保持已有图层状态；</w:t>
      </w:r>
    </w:p>
    <w:p w14:paraId="19D59E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搜索接口应限制结果数量，优先返回可被直接定位的节点和路线；</w:t>
      </w:r>
    </w:p>
    <w:p w14:paraId="4A5DA8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接口新增字段应保持向后兼容，不应删除前端已使用字段；</w:t>
      </w:r>
    </w:p>
    <w:p w14:paraId="13E6A5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涉及外部来源链接的字段应在前端以安全方式打开；</w:t>
      </w:r>
    </w:p>
    <w:p w14:paraId="068BF1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00" w:afterAutospacing="0" w:line="20" w:lineRule="atLeast"/>
        <w:ind w:left="420" w:right="0" w:hanging="360"/>
      </w:pPr>
      <w:r>
        <w:rPr>
          <w:rFonts w:ascii="宋体" w:hAnsi="宋体" w:eastAsia="宋体" w:cs="宋体"/>
          <w:color w:val="1F1F1F"/>
          <w:sz w:val="22"/>
          <w:szCs w:val="22"/>
        </w:rPr>
        <w:t>面向产业化复用的接口应优先保持响应字段稳定，确需调整时应通过版本号或兼容字段过渡。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B4765"/>
    <w:multiLevelType w:val="multilevel"/>
    <w:tmpl w:val="A7BB47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65DDC26"/>
    <w:multiLevelType w:val="multilevel"/>
    <w:tmpl w:val="765DDC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3B112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spacing w:before="0" w:beforeAutospacing="0" w:after="360" w:afterAutospacing="0" w:line="16" w:lineRule="atLeast"/>
      <w:ind w:left="0" w:right="0"/>
      <w:jc w:val="center"/>
    </w:pPr>
    <w:rPr>
      <w:rFonts w:hint="eastAsia" w:ascii="微软雅黑" w:hAnsi="微软雅黑" w:eastAsia="微软雅黑" w:cs="微软雅黑"/>
      <w:b/>
      <w:bCs/>
      <w:color w:val="20382D"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bottom w:val="single" w:color="D5DDD5" w:sz="4" w:space="4"/>
      </w:pBdr>
      <w:spacing w:before="440" w:beforeAutospacing="0" w:after="20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360" w:beforeAutospacing="0" w:after="16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80" w:beforeAutospacing="0" w:after="12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345C44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0" w:beforeAutospacing="1" w:after="0" w:afterAutospacing="1" w:line="16" w:lineRule="atLeast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0" w:beforeAutospacing="1" w:after="0" w:afterAutospacing="1" w:line="16" w:lineRule="atLeast"/>
      <w:jc w:val="left"/>
    </w:pPr>
    <w:rPr>
      <w:rFonts w:ascii="微软雅黑" w:hAnsi="微软雅黑" w:eastAsia="微软雅黑" w:cs="微软雅黑"/>
      <w:b/>
      <w:bCs/>
      <w:color w:val="20382D"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qFormat/>
    <w:uiPriority w:val="0"/>
    <w:pPr>
      <w:spacing w:after="360" w:afterAutospacing="0"/>
      <w:ind w:firstLine="0"/>
      <w:jc w:val="center"/>
    </w:pPr>
    <w:rPr>
      <w:rFonts w:hint="eastAsia" w:ascii="微软雅黑" w:hAnsi="微软雅黑" w:eastAsia="微软雅黑" w:cs="微软雅黑"/>
      <w:color w:val="666666"/>
      <w:kern w:val="0"/>
      <w:lang w:val="en-US" w:eastAsia="zh-CN" w:bidi="ar"/>
    </w:rPr>
  </w:style>
  <w:style w:type="paragraph" w:styleId="9">
    <w:name w:val="HTML Preformatted"/>
    <w:basedOn w:val="1"/>
    <w:uiPriority w:val="0"/>
    <w:pPr>
      <w:pBdr>
        <w:top w:val="single" w:color="DDDDDD" w:sz="4" w:space="8"/>
        <w:left w:val="single" w:color="DDDDDD" w:sz="4" w:space="8"/>
        <w:bottom w:val="single" w:color="DDDDDD" w:sz="4" w:space="8"/>
        <w:right w:val="single" w:color="DDDDDD" w:sz="4" w:space="8"/>
      </w:pBdr>
      <w:shd w:val="clear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0" w:after="160" w:afterAutospacing="0"/>
      <w:ind w:left="0" w:right="0" w:firstLine="420"/>
      <w:jc w:val="both"/>
    </w:pPr>
    <w:rPr>
      <w:kern w:val="0"/>
      <w:sz w:val="24"/>
      <w:lang w:val="en-US" w:eastAsia="zh-CN" w:bidi="ar"/>
    </w:rPr>
  </w:style>
  <w:style w:type="character" w:styleId="13">
    <w:name w:val="HTML Code"/>
    <w:basedOn w:val="12"/>
    <w:uiPriority w:val="0"/>
    <w:rPr>
      <w:rFonts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customStyle="1" w:styleId="14">
    <w:name w:val="doc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2026-05-09T13:14:42Z</dcterms:created>
  <cp:lastModifiedBy>文锦俊</cp:lastModifiedBy>
  <dcterms:modified xsi:type="dcterms:W3CDTF">2026-05-09T13:14:43Z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D64CA9F5A50242698AF50BC7F265A0AF_13</vt:lpwstr>
  </property>
</Properties>
</file>