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28"/>
          <w:szCs w:val="28"/>
          <w:lang w:val="en-US"/>
        </w:rPr>
      </w:pPr>
      <w:r>
        <w:rPr>
          <w:rFonts w:hint="default"/>
          <w:b/>
          <w:bCs/>
          <w:sz w:val="28"/>
          <w:szCs w:val="28"/>
          <w:lang w:val="en-US"/>
        </w:rPr>
        <w:t>Chapter one: Introduction</w:t>
      </w:r>
    </w:p>
    <w:p>
      <w:pPr>
        <w:rPr>
          <w:rFonts w:hint="default"/>
          <w:b/>
          <w:bCs/>
          <w:sz w:val="28"/>
          <w:szCs w:val="28"/>
        </w:rPr>
      </w:pPr>
      <w:r>
        <w:rPr>
          <w:rFonts w:hint="default"/>
          <w:b/>
          <w:bCs/>
          <w:sz w:val="28"/>
          <w:szCs w:val="28"/>
        </w:rPr>
        <w:t>Background:</w:t>
      </w:r>
    </w:p>
    <w:p>
      <w:pPr>
        <w:rPr>
          <w:rFonts w:hint="default"/>
        </w:rPr>
      </w:pPr>
    </w:p>
    <w:p>
      <w:pPr>
        <w:rPr>
          <w:rFonts w:hint="default"/>
          <w:sz w:val="28"/>
          <w:szCs w:val="28"/>
          <w:lang w:val="en-US"/>
        </w:rPr>
      </w:pPr>
      <w:r>
        <w:rPr>
          <w:rFonts w:hint="default"/>
          <w:sz w:val="28"/>
          <w:szCs w:val="28"/>
          <w:lang w:val="en-US"/>
        </w:rPr>
        <w:t>E</w:t>
      </w:r>
      <w:r>
        <w:rPr>
          <w:rFonts w:hint="default"/>
          <w:sz w:val="28"/>
          <w:szCs w:val="28"/>
        </w:rPr>
        <w:t xml:space="preserve">xams are a critical component of assessing students' knowledge and understanding of various subjects. However many students face difficulties in preparing effectively for exams which can lead to unsatisfactory results and even failure. Traditional study methods and resources may not always </w:t>
      </w:r>
      <w:r>
        <w:rPr>
          <w:rFonts w:hint="default"/>
          <w:sz w:val="28"/>
          <w:szCs w:val="28"/>
          <w:lang w:val="en-US"/>
        </w:rPr>
        <w:t>leads</w:t>
      </w:r>
      <w:r>
        <w:rPr>
          <w:rFonts w:hint="default"/>
          <w:sz w:val="28"/>
          <w:szCs w:val="28"/>
        </w:rPr>
        <w:t xml:space="preserve"> to the specific needs and learning styles of individual students</w:t>
      </w:r>
      <w:r>
        <w:rPr>
          <w:rFonts w:hint="default"/>
          <w:sz w:val="28"/>
          <w:szCs w:val="28"/>
          <w:lang w:val="en-US"/>
        </w:rPr>
        <w:t>.</w:t>
      </w:r>
    </w:p>
    <w:p>
      <w:pPr>
        <w:rPr>
          <w:rFonts w:hint="default"/>
          <w:sz w:val="28"/>
          <w:szCs w:val="28"/>
        </w:rPr>
      </w:pPr>
    </w:p>
    <w:p>
      <w:pPr>
        <w:rPr>
          <w:rFonts w:hint="default"/>
          <w:sz w:val="28"/>
          <w:szCs w:val="28"/>
        </w:rPr>
      </w:pPr>
      <w:r>
        <w:rPr>
          <w:rFonts w:hint="default"/>
          <w:sz w:val="28"/>
          <w:szCs w:val="28"/>
        </w:rPr>
        <w:t>Furthermore, students often struggle to identify their areas of weakness and find it challenging to improve upon them. They may lack access to targeted resources or personalized guidance that can help them address their knowledge gaps and enhance their understanding of key concepts. Additionally, the lack of opportunities for collaborative learning and discussion can limit students' ability to engage deeply with subject matter and gain different perspectives.</w:t>
      </w: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C8E43B4"/>
    <w:rsid w:val="0C8E43B4"/>
    <w:rsid w:val="7CEC55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2024-06-02T19:53:00Z</dcterms:created>
  <dc:creator>Abdiwak Amsalu</dc:creator>
  <cp:lastModifiedBy>Abdiwak Amsalu</cp:lastModifiedBy>
  <dcterms:modified xsi:type="dcterms:W3CDTF">2024-06-02T19:54:38Z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B3D8C559BB99452DA5BB85790838A978_11</vt:lpwstr>
  </property>
</Properties>
</file>