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4"/>
          <w:szCs w:val="44"/>
        </w:rPr>
        <w:t xml:space="preserve">ITS Smartsheet Filing System</w:t>
      </w:r>
    </w:p>
    <w:p>
      <w:pPr>
        <w:spacing w:after="60"/>
      </w:pPr>
      <w:r>
        <w:rPr>
          <w:b/>
          <w:bCs/>
          <w:sz w:val="32"/>
          <w:szCs w:val="32"/>
        </w:rPr>
        <w:t xml:space="preserve">Handoff Document v2</w:t>
      </w:r>
    </w:p>
    <w:p>
      <w:pPr>
        <w:spacing w:after="240"/>
      </w:pPr>
      <w:r>
        <w:rPr>
          <w:i/>
          <w:iCs/>
          <w:sz w:val="20"/>
          <w:szCs w:val="20"/>
        </w:rPr>
        <w:t xml:space="preserve">Generated 2026-05-17  •  Supersedes v1 (2026-05-16)  •  Customer 0: Evergreen Renewables  •  Portfolio: Forefront IL / Luminace</w:t>
      </w:r>
    </w:p>
    <w:p>
      <w:pPr>
        <w:pStyle w:val="Heading1"/>
      </w:pPr>
      <w:r>
        <w:t xml:space="preserve">⚠️ READ THIS FIRST — Non-negotiable framing</w:t>
      </w:r>
    </w:p>
    <w:p>
      <w:pPr>
        <w:spacing w:after="120"/>
      </w:pPr>
      <w:r>
        <w:t xml:space="preserve">Same framing as v1, unchanged. The filing system is the foundation that ALL ITS automation will be built on top of. Adoption is the ONLY measure of success. The structure has to be SIMPLE, USABLE, EVIDENT, and ESSENTIALLY PERFECT for Evergreen PMs to want to use it.</w:t>
      </w:r>
    </w:p>
    <w:p>
      <w:pPr>
        <w:spacing w:after="120"/>
      </w:pPr>
      <w:r>
        <w:t xml:space="preserve">v2 preserves all v1 invariants. Only state has changed: tonight's session executed two priority migrations (Schedule, Closeout K-1), made two structural changes (rename 05, create 06), and resolved the column-ID blocker.</w:t>
      </w:r>
    </w:p>
    <w:p>
      <w:pPr>
        <w:pStyle w:val="Heading2"/>
      </w:pPr>
      <w:r>
        <w:t xml:space="preserve">What MUST NOT happen in this resumed session</w:t>
      </w:r>
    </w:p>
    <w:p>
      <w:pPr>
        <w:pStyle w:val="ListParagraph"/>
        <w:numPr>
          <w:ilvl w:val="0"/>
          <w:numId w:val="2"/>
        </w:numPr>
        <w:spacing w:after="80"/>
      </w:pPr>
      <w:r>
        <w:rPr>
          <w:b/>
          <w:bCs/>
        </w:rPr>
        <w:t xml:space="preserve">Do not relitigate the Closeout K-1 normalization rules. </w:t>
      </w:r>
      <w:r>
        <w:t xml:space="preserve">Five decisions were made and applied in this session (see 'Decisions made this session' below). Don't re-decide them — extend them if needed for similar future migrations.</w:t>
      </w:r>
    </w:p>
    <w:p>
      <w:pPr>
        <w:pStyle w:val="ListParagraph"/>
        <w:numPr>
          <w:ilvl w:val="0"/>
          <w:numId w:val="2"/>
        </w:numPr>
        <w:spacing w:after="80"/>
      </w:pPr>
      <w:r>
        <w:rPr>
          <w:b/>
          <w:bCs/>
        </w:rPr>
        <w:t xml:space="preserve">Do not redesign the 06 — Human Review schemas. </w:t>
      </w:r>
      <w:r>
        <w:t xml:space="preserve">WPR_Pending_Review is canonical from Mission v4. ITS_Review_Queue is a best-inference schema that needs a separate focused review — but don't unilaterally redesign in passing.</w:t>
      </w:r>
    </w:p>
    <w:p>
      <w:pPr>
        <w:pStyle w:val="ListParagraph"/>
        <w:numPr>
          <w:ilvl w:val="0"/>
          <w:numId w:val="2"/>
        </w:numPr>
        <w:spacing w:after="80"/>
      </w:pPr>
      <w:r>
        <w:rPr>
          <w:b/>
          <w:bCs/>
        </w:rPr>
        <w:t xml:space="preserve">Do not polish individual sheets. </w:t>
      </w:r>
      <w:r>
        <w:t xml:space="preserve">Still no column descriptions, validation, sample rows. Same as v1.</w:t>
      </w:r>
    </w:p>
    <w:p>
      <w:pPr>
        <w:pStyle w:val="ListParagraph"/>
        <w:numPr>
          <w:ilvl w:val="0"/>
          <w:numId w:val="2"/>
        </w:numPr>
        <w:spacing w:after="80"/>
      </w:pPr>
      <w:r>
        <w:rPr>
          <w:b/>
          <w:bCs/>
        </w:rPr>
        <w:t xml:space="preserve">Do not add or remove top-level folders. </w:t>
      </w:r>
      <w:r>
        <w:t xml:space="preserve">Six top-level folders are set: 01–06. Don't add 07, don't reorganize 03 or 05.</w:t>
      </w:r>
    </w:p>
    <w:p>
      <w:pPr>
        <w:pStyle w:val="ListParagraph"/>
        <w:numPr>
          <w:ilvl w:val="0"/>
          <w:numId w:val="2"/>
        </w:numPr>
        <w:spacing w:after="80"/>
      </w:pPr>
      <w:r>
        <w:rPr>
          <w:b/>
          <w:bCs/>
        </w:rPr>
        <w:t xml:space="preserve">Do not re-run the Schedule or Closeout K-1 migrations. </w:t>
      </w:r>
      <w:r>
        <w:t xml:space="preserve">They are idempotency-guarded but a re-run still wastes time and risks confusion. Both are DONE.</w:t>
      </w:r>
    </w:p>
    <w:p>
      <w:pPr>
        <w:pStyle w:val="Heading2"/>
      </w:pPr>
      <w:r>
        <w:t xml:space="preserve">What MUST happen in this resumed session</w:t>
      </w:r>
    </w:p>
    <w:p>
      <w:pPr>
        <w:pStyle w:val="ListParagraph"/>
        <w:numPr>
          <w:ilvl w:val="0"/>
          <w:numId w:val="2"/>
        </w:numPr>
        <w:spacing w:after="80"/>
      </w:pPr>
      <w:r>
        <w:rPr>
          <w:b/>
          <w:bCs/>
        </w:rPr>
        <w:t xml:space="preserve">Financial Ledger migration. </w:t>
      </w:r>
      <w:r>
        <w:t xml:space="preserve">The hardest one. 2,100-row mega-sheet with hand-built vendor blocks. Pre-flight inspection plan included below in 'Financial Ledger pre-flight'.</w:t>
      </w:r>
    </w:p>
    <w:p>
      <w:pPr>
        <w:pStyle w:val="ListParagraph"/>
        <w:numPr>
          <w:ilvl w:val="0"/>
          <w:numId w:val="2"/>
        </w:numPr>
        <w:spacing w:after="80"/>
      </w:pPr>
      <w:r>
        <w:rPr>
          <w:b/>
          <w:bCs/>
        </w:rPr>
        <w:t xml:space="preserve">Buyouts migrations (Subs / Materials / Equipment). </w:t>
      </w:r>
      <w:r>
        <w:t xml:space="preserve">Find the source sheets by browsing the mirror's per-project folders (Buyout folder ID 855118821255044 in mirror workspace 2228567565199236).</w:t>
      </w:r>
    </w:p>
    <w:p>
      <w:pPr>
        <w:pStyle w:val="ListParagraph"/>
        <w:numPr>
          <w:ilvl w:val="0"/>
          <w:numId w:val="2"/>
        </w:numPr>
        <w:spacing w:after="80"/>
      </w:pPr>
      <w:r>
        <w:rPr>
          <w:b/>
          <w:bCs/>
        </w:rPr>
        <w:t xml:space="preserve">Seed Operations DBs. </w:t>
      </w:r>
      <w:r>
        <w:t xml:space="preserve">Subcontractor DB, Vendor DB, Equipment Master — populate using observations from the Buyout migrations.</w:t>
      </w:r>
    </w:p>
    <w:p>
      <w:pPr>
        <w:pStyle w:val="ListParagraph"/>
        <w:numPr>
          <w:ilvl w:val="0"/>
          <w:numId w:val="2"/>
        </w:numPr>
        <w:spacing w:after="80"/>
      </w:pPr>
      <w:r>
        <w:rPr>
          <w:b/>
          <w:bCs/>
        </w:rPr>
        <w:t xml:space="preserve">DFR backfill. </w:t>
      </w:r>
      <w:r>
        <w:t xml:space="preserve">Two more Bradley 1 weeks (2026-02-23 folder 6511221382899588, 2026-02-16 folder 8763021196584836). Each needs Daily Reports + Weekly Rollup sheets cloned from the 2026-03-09 versions.</w:t>
      </w:r>
    </w:p>
    <w:p>
      <w:pPr>
        <w:pStyle w:val="ListParagraph"/>
        <w:numPr>
          <w:ilvl w:val="0"/>
          <w:numId w:val="2"/>
        </w:numPr>
        <w:spacing w:after="80"/>
      </w:pPr>
      <w:r>
        <w:rPr>
          <w:b/>
          <w:bCs/>
        </w:rPr>
        <w:t xml:space="preserve">Move /home/claude/ migration toolkit to Seth's local repo. </w:t>
      </w:r>
      <w:r>
        <w:t xml:space="preserve">ss_api.py + migration scripts + inspectors should land in ~/its/smartsheet_migration/ alongside the safety_reports/ tree.</w:t>
      </w:r>
    </w:p>
    <w:p>
      <w:pPr>
        <w:pStyle w:val="Heading1"/>
      </w:pPr>
      <w:r>
        <w:t xml:space="preserve">State snapshot — Where the build is right now</w:t>
      </w:r>
    </w:p>
    <w:p>
      <w:pPr>
        <w:pStyle w:val="Heading2"/>
      </w:pPr>
      <w:r>
        <w:t xml:space="preserve">Workspace</w:t>
      </w:r>
    </w:p>
    <w:p>
      <w:pPr>
        <w:pStyle w:val="ListParagraph"/>
        <w:numPr>
          <w:ilvl w:val="0"/>
          <w:numId w:val="2"/>
        </w:numPr>
        <w:spacing w:after="80"/>
      </w:pPr>
      <w:r>
        <w:rPr>
          <w:b/>
          <w:bCs/>
        </w:rPr>
        <w:t xml:space="preserve">Name: </w:t>
      </w:r>
      <w:r>
        <w:t xml:space="preserve">Forefront IL Portfolio — ITS Demo</w:t>
      </w:r>
    </w:p>
    <w:p>
      <w:pPr>
        <w:pStyle w:val="ListParagraph"/>
        <w:numPr>
          <w:ilvl w:val="0"/>
          <w:numId w:val="2"/>
        </w:numPr>
        <w:spacing w:after="80"/>
      </w:pPr>
      <w:r>
        <w:rPr>
          <w:b/>
          <w:bCs/>
        </w:rPr>
        <w:t xml:space="preserve">Workspace ID: </w:t>
      </w:r>
      <w:r>
        <w:t xml:space="preserve">4129485730670468</w:t>
      </w:r>
    </w:p>
    <w:p>
      <w:pPr>
        <w:pStyle w:val="ListParagraph"/>
        <w:numPr>
          <w:ilvl w:val="0"/>
          <w:numId w:val="2"/>
        </w:numPr>
        <w:spacing w:after="80"/>
      </w:pPr>
      <w:r>
        <w:rPr>
          <w:b/>
          <w:bCs/>
        </w:rPr>
        <w:t xml:space="preserve">URL: </w:t>
      </w:r>
      <w:r>
        <w:t xml:space="preserve">https://app.smartsheet.com/workspaces/gRRg2H33PM2mPhQ5M95r9fWCQ8jR2MPmc64jvX41</w:t>
      </w:r>
    </w:p>
    <w:p>
      <w:pPr>
        <w:pStyle w:val="ListParagraph"/>
        <w:numPr>
          <w:ilvl w:val="0"/>
          <w:numId w:val="2"/>
        </w:numPr>
        <w:spacing w:after="80"/>
      </w:pPr>
      <w:r>
        <w:rPr>
          <w:b/>
          <w:bCs/>
        </w:rPr>
        <w:t xml:space="preserve">Access level: </w:t>
      </w:r>
      <w:r>
        <w:t xml:space="preserve">OWNER</w:t>
      </w:r>
    </w:p>
    <w:p>
      <w:pPr>
        <w:pStyle w:val="Heading2"/>
      </w:pPr>
      <w:r>
        <w:t xml:space="preserve">Top-level folders (UPDATED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340"/>
        <w:gridCol w:w="3276"/>
      </w:tblGrid>
      <w:tr>
        <w:trPr>
          <w:tblHeader/>
        </w:trPr>
        <w:tc>
          <w:tcPr>
            <w:tcW w:type="dxa" w:w="3744"/>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b/>
                <w:bCs/>
                <w:color w:val="FFFFFF"/>
                <w:sz w:val="20"/>
                <w:szCs w:val="20"/>
              </w:rPr>
              <w:t xml:space="preserve">Folder</w:t>
            </w:r>
          </w:p>
        </w:tc>
        <w:tc>
          <w:tcPr>
            <w:tcW w:type="dxa" w:w="234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b/>
                <w:bCs/>
                <w:color w:val="FFFFFF"/>
                <w:sz w:val="20"/>
                <w:szCs w:val="20"/>
              </w:rPr>
              <w:t xml:space="preserve">ID</w:t>
            </w:r>
          </w:p>
        </w:tc>
        <w:tc>
          <w:tcPr>
            <w:tcW w:type="dxa" w:w="3276"/>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b/>
                <w:bCs/>
                <w:color w:val="FFFFFF"/>
                <w:sz w:val="20"/>
                <w:szCs w:val="20"/>
              </w:rPr>
              <w:t xml:space="preserve">Status</w:t>
            </w:r>
          </w:p>
        </w:tc>
      </w:tr>
      <w:tr>
        <w:tc>
          <w:tcPr>
            <w:tcW w:type="dxa" w:w="37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01 — Active Projects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5819628569028484</w:t>
            </w:r>
          </w:p>
        </w:tc>
        <w:tc>
          <w:tcPr>
            <w:tcW w:type="dxa" w:w="327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6 project subfolders, each with 12 sheets</w:t>
            </w:r>
          </w:p>
        </w:tc>
      </w:tr>
      <w:tr>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02 — Portfolio Rollups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8071428382713732</w:t>
            </w:r>
          </w:p>
        </w:tc>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Empty — Reports object pending</w:t>
            </w:r>
          </w:p>
        </w:tc>
      </w:tr>
      <w:tr>
        <w:tc>
          <w:tcPr>
            <w:tcW w:type="dxa" w:w="37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03 — Operations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471604011526020</w:t>
            </w:r>
          </w:p>
        </w:tc>
        <w:tc>
          <w:tcPr>
            <w:tcW w:type="dxa" w:w="327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4 master DBs built (Subs, Vendors, Equipment, Outreach)</w:t>
            </w:r>
          </w:p>
        </w:tc>
      </w:tr>
      <w:tr>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04 — Archive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1034553964947332</w:t>
            </w:r>
          </w:p>
        </w:tc>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Closed Projects subfolder ready; empty as designed</w:t>
            </w:r>
          </w:p>
        </w:tc>
      </w:tr>
      <w:tr>
        <w:tc>
          <w:tcPr>
            <w:tcW w:type="dxa" w:w="37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05 — Field Reports (JHA/TBT)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705799988242308</w:t>
            </w:r>
          </w:p>
        </w:tc>
        <w:tc>
          <w:tcPr>
            <w:tcW w:type="dxa" w:w="327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RENAMED 2026-05-16 (was 'Daily Field Reports'). 6 project subfolders; Bradley 1 / Week of 2026-03-09 has populated demo data.</w:t>
            </w:r>
          </w:p>
        </w:tc>
      </w:tr>
      <w:tr>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06 — Human Review</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210126402545540</w:t>
            </w:r>
          </w:p>
        </w:tc>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NEW 2026-05-16. Contains WPR_Pending_Review + ITS_Review_Queue.</w:t>
            </w:r>
          </w:p>
        </w:tc>
      </w:tr>
    </w:tbl>
    <w:p>
      <w:pPr>
        <w:pStyle w:val="Heading2"/>
      </w:pPr>
      <w:r>
        <w:t xml:space="preserve">Project folders (inside 01 — Active Projects)</w:t>
      </w:r>
    </w:p>
    <w:p>
      <w:pPr>
        <w:spacing w:after="120"/>
      </w:pPr>
      <w:r>
        <w:t xml:space="preserve">Unchanged from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b/>
                <w:bCs/>
                <w:color w:val="FFFFFF"/>
                <w:sz w:val="20"/>
                <w:szCs w:val="20"/>
              </w:rPr>
              <w:t xml:space="preserve">Project folder</w:t>
            </w:r>
          </w:p>
        </w:tc>
        <w:tc>
          <w:tcPr>
            <w:tcW w:type="dxa" w:w="2808"/>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b/>
                <w:bCs/>
                <w:color w:val="FFFFFF"/>
                <w:sz w:val="20"/>
                <w:szCs w:val="20"/>
              </w:rPr>
              <w:t xml:space="preserve">ID</w:t>
            </w:r>
          </w:p>
        </w:tc>
        <w:tc>
          <w:tcPr>
            <w:tcW w:type="dxa" w:w="2808"/>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b/>
                <w:bCs/>
                <w:color w:val="FFFFFF"/>
                <w:sz w:val="20"/>
                <w:szCs w:val="20"/>
              </w:rPr>
              <w:t xml:space="preserve">Migration status</w:t>
            </w:r>
          </w:p>
        </w:tc>
      </w:tr>
      <w:tr>
        <w:tc>
          <w:tcPr>
            <w:tcW w:type="dxa" w:w="37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Bradley 1 (BBCHS 1)</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8025248894347140</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Schedule + Closeout K-1 MIGRATED tonight</w:t>
            </w:r>
          </w:p>
        </w:tc>
      </w:tr>
      <w:tr>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Bradley 2 (BBCHS 2)</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5210499127240580</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Structural only</w:t>
            </w:r>
          </w:p>
        </w:tc>
      </w:tr>
      <w:tr>
        <w:tc>
          <w:tcPr>
            <w:tcW w:type="dxa" w:w="37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Brimfield 1</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7462298940925828</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Structural only</w:t>
            </w:r>
          </w:p>
        </w:tc>
      </w:tr>
      <w:tr>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Brimfield 2</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7180823964215172</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Structural only</w:t>
            </w:r>
          </w:p>
        </w:tc>
      </w:tr>
      <w:tr>
        <w:tc>
          <w:tcPr>
            <w:tcW w:type="dxa" w:w="37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Huntley</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8306723871057796</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Structural only</w:t>
            </w:r>
          </w:p>
        </w:tc>
      </w:tr>
      <w:tr>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Rockford</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6828980243326852</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Structural only</w:t>
            </w:r>
          </w:p>
        </w:tc>
      </w:tr>
    </w:tbl>
    <w:p>
      <w:pPr>
        <w:pStyle w:val="Heading2"/>
      </w:pPr>
      <w:r>
        <w:t xml:space="preserve">Bradley 1 sheet IDs (migration targets)</w:t>
      </w:r>
    </w:p>
    <w:p>
      <w:pPr>
        <w:spacing w:after="120"/>
      </w:pPr>
      <w:r>
        <w:t xml:space="preserve">Column IDs are NOW KNOWN (the v1 blocker is resolved — see 'Helper toolkit'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tblHeader/>
        </w:trPr>
        <w:tc>
          <w:tcPr>
            <w:tcW w:type="dxa" w:w="2808"/>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b/>
                <w:bCs/>
                <w:color w:val="FFFFFF"/>
                <w:sz w:val="20"/>
                <w:szCs w:val="20"/>
              </w:rPr>
              <w:t xml:space="preserve">Sheet</w:t>
            </w:r>
          </w:p>
        </w:tc>
        <w:tc>
          <w:tcPr>
            <w:tcW w:type="dxa" w:w="2808"/>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b/>
                <w:bCs/>
                <w:color w:val="FFFFFF"/>
                <w:sz w:val="20"/>
                <w:szCs w:val="20"/>
              </w:rPr>
              <w:t xml:space="preserve">Sheet ID</w:t>
            </w:r>
          </w:p>
        </w:tc>
        <w:tc>
          <w:tcPr>
            <w:tcW w:type="dxa" w:w="3744"/>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b/>
                <w:bCs/>
                <w:color w:val="FFFFFF"/>
                <w:sz w:val="20"/>
                <w:szCs w:val="20"/>
              </w:rPr>
              <w:t xml:space="preserve">Migration</w:t>
            </w:r>
          </w:p>
        </w:tc>
      </w:tr>
      <w:tr>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Schedule</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6008505839341444</w:t>
            </w:r>
          </w:p>
        </w:tc>
        <w:tc>
          <w:tcPr>
            <w:tcW w:type="dxa" w:w="37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 DONE 2026-05-16 — 53 leaf tasks, predecessors remapped</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Buyout — Subs</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8615508038340484</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YES — priority 4</w:t>
            </w:r>
          </w:p>
        </w:tc>
      </w:tr>
      <w:tr>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Buyout — Materials</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6432642449756036</w:t>
            </w:r>
          </w:p>
        </w:tc>
        <w:tc>
          <w:tcPr>
            <w:tcW w:type="dxa" w:w="37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YES — priority 4</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Buyout — Equipment</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7803114974302084</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YES — priority 4</w:t>
            </w:r>
          </w:p>
        </w:tc>
      </w:tr>
      <w:tr>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Financial Ledger</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4956333341101956</w:t>
            </w:r>
          </w:p>
        </w:tc>
        <w:tc>
          <w:tcPr>
            <w:tcW w:type="dxa" w:w="37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YES — priority 3 (next session)</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Change Orders (PCO Log)</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2003251267325828</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Empty — no real-world data</w:t>
            </w:r>
          </w:p>
        </w:tc>
      </w:tr>
      <w:tr>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Closeout — Exhibit K-1</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4973530390155140</w:t>
            </w:r>
          </w:p>
        </w:tc>
        <w:tc>
          <w:tcPr>
            <w:tcW w:type="dxa" w:w="37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 DONE 2026-05-16 — 92 rows, 3-level hierarchy</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Punchlist</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1759030836940676</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Empty — no real-world data</w:t>
            </w:r>
          </w:p>
        </w:tc>
      </w:tr>
      <w:tr>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Permits &amp; Inspections Log</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2495145281802116</w:t>
            </w:r>
          </w:p>
        </w:tc>
        <w:tc>
          <w:tcPr>
            <w:tcW w:type="dxa" w:w="37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Empty — forward-looking</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Submittal Log</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4990083194113924</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Empty — forward-looking</w:t>
            </w:r>
          </w:p>
        </w:tc>
      </w:tr>
      <w:tr>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RFI Log</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8084383792582532</w:t>
            </w:r>
          </w:p>
        </w:tc>
        <w:tc>
          <w:tcPr>
            <w:tcW w:type="dxa" w:w="37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Empty — forward-looking</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Drawing Revisions Index</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3025736951615364</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Empty — forward-looking</w:t>
            </w:r>
          </w:p>
        </w:tc>
      </w:tr>
    </w:tbl>
    <w:p>
      <w:pPr>
        <w:pStyle w:val="Heading2"/>
      </w:pPr>
      <w:r>
        <w:t xml:space="preserve">06 — Human Review (NEW)</w:t>
      </w:r>
    </w:p>
    <w:p>
      <w:pPr>
        <w:spacing w:after="120"/>
      </w:pPr>
      <w:r>
        <w:t xml:space="preserve">Two PM-facing sheets provisioned 2026-05-16. ITS_Config and ITS_Errors deliberately not placed here — those are admin/operational and have a separate home decision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b/>
                <w:bCs/>
                <w:color w:val="FFFFFF"/>
                <w:sz w:val="20"/>
                <w:szCs w:val="20"/>
              </w:rPr>
              <w:t xml:space="preserve">Sheet</w:t>
            </w:r>
          </w:p>
        </w:tc>
        <w:tc>
          <w:tcPr>
            <w:tcW w:type="dxa" w:w="234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b/>
                <w:bCs/>
                <w:color w:val="FFFFFF"/>
                <w:sz w:val="20"/>
                <w:szCs w:val="20"/>
              </w:rPr>
              <w:t xml:space="preserve">ID</w:t>
            </w:r>
          </w:p>
        </w:tc>
        <w:tc>
          <w:tcPr>
            <w:tcW w:type="dxa" w:w="468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b/>
                <w:bCs/>
                <w:color w:val="FFFFFF"/>
                <w:sz w:val="20"/>
                <w:szCs w:val="20"/>
              </w:rPr>
              <w:t xml:space="preserve">Schema source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WPR_Pending_Review</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3096105695793028</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Canonical schema from Mission v4 Q9. 12 columns: Customer, Job, Week, Draft Body, Recipients, Approved for Send (CHECKBOX), Approved By (CONTACT_LIST), Approved At, Sent At, Send Status (PICKLIST: PENDING/SENT/FAILED/HELD), Late Send (CHECKBOX), Notes.</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ITS_Review_Queue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7243317526876036</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BEST-INFERENCE schema from shared/review_queue.py stub + Op Stds v5. 13 columns: Item ID, Created At, Workstream (PICKLIST), Summary, Reason, Payload, SLA Tier (PICKLIST: 4h/24h/48h), Status (PICKLIST: PENDING/IN_REVIEW/APPROVED/REJECTED/ESCALATED), Security Flag (CHECKBOX), Assigned To (CONTACT_LIST), Resolved By (CONTACT_LIST), Resolved At, Notes. ⚠ NEEDS FOCUSED REVIEW before automation goes live.</w:t>
            </w:r>
          </w:p>
        </w:tc>
      </w:tr>
    </w:tbl>
    <w:p>
      <w:pPr>
        <w:pStyle w:val="Heading2"/>
      </w:pPr>
      <w:r>
        <w:t xml:space="preserve">Operations master sheets (03 — Operations)</w:t>
      </w:r>
    </w:p>
    <w:p>
      <w:pPr>
        <w:spacing w:after="120"/>
      </w:pPr>
      <w:r>
        <w:t xml:space="preserve">Unchanged from v1 — not yet seeded.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tblHeader/>
        </w:trPr>
        <w:tc>
          <w:tcPr>
            <w:tcW w:type="dxa" w:w="2808"/>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b/>
                <w:bCs/>
                <w:color w:val="FFFFFF"/>
                <w:sz w:val="20"/>
                <w:szCs w:val="20"/>
              </w:rPr>
              <w:t xml:space="preserve">Sheet</w:t>
            </w:r>
          </w:p>
        </w:tc>
        <w:tc>
          <w:tcPr>
            <w:tcW w:type="dxa" w:w="2808"/>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b/>
                <w:bCs/>
                <w:color w:val="FFFFFF"/>
                <w:sz w:val="20"/>
                <w:szCs w:val="20"/>
              </w:rPr>
              <w:t xml:space="preserve">ID</w:t>
            </w:r>
          </w:p>
        </w:tc>
        <w:tc>
          <w:tcPr>
            <w:tcW w:type="dxa" w:w="3744"/>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b/>
                <w:bCs/>
                <w:color w:val="FFFFFF"/>
                <w:sz w:val="20"/>
                <w:szCs w:val="20"/>
              </w:rPr>
              <w:t xml:space="preserve">Seed plan</w:t>
            </w:r>
          </w:p>
        </w:tc>
      </w:tr>
      <w:tr>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Subcontractor DB</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1230913068289924</w:t>
            </w:r>
          </w:p>
        </w:tc>
        <w:tc>
          <w:tcPr>
            <w:tcW w:type="dxa" w:w="37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Seed with subs observed in Bradley 1 buyouts</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Vendor DB</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7278304330469252</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Seed with vendors observed in Bradley 1 materials/equipment</w:t>
            </w:r>
          </w:p>
        </w:tc>
      </w:tr>
      <w:tr>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Equipment Master</w:t>
            </w:r>
          </w:p>
        </w:tc>
        <w:tc>
          <w:tcPr>
            <w:tcW w:type="dxa" w:w="280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4132885031243652</w:t>
            </w:r>
          </w:p>
        </w:tc>
        <w:tc>
          <w:tcPr>
            <w:tcW w:type="dxa" w:w="37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Seed with standard equipment types (CAB, DAS, Inverters)</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Outreach Log</w:t>
            </w:r>
          </w:p>
        </w:tc>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1552644773465988</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Empty — forward-looking</w:t>
            </w:r>
          </w:p>
        </w:tc>
      </w:tr>
    </w:tbl>
    <w:p>
      <w:pPr>
        <w:pStyle w:val="Heading2"/>
      </w:pPr>
      <w:r>
        <w:t xml:space="preserve">Daily Field Reports — Bradley 1 partial migration</w:t>
      </w:r>
    </w:p>
    <w:p>
      <w:pPr>
        <w:spacing w:after="120"/>
      </w:pPr>
      <w:r>
        <w:t xml:space="preserve">Unchanged from v1. Still need to backfill Week of 2026-02-23 (folder 6511221382899588) and Week of 2026-02-16 (folder 8763021196584836). Each needs Daily Reports + Weekly Rollup sheets cloned from the existing 2026-03-09 versions.</w:t>
      </w:r>
    </w:p>
    <w:p>
      <w:pPr>
        <w:pStyle w:val="Heading2"/>
      </w:pPr>
      <w:r>
        <w:t xml:space="preserve">Source workspace (chaos mirror)</w:t>
      </w:r>
    </w:p>
    <w:p>
      <w:pPr>
        <w:pStyle w:val="ListParagraph"/>
        <w:numPr>
          <w:ilvl w:val="0"/>
          <w:numId w:val="2"/>
        </w:numPr>
        <w:spacing w:after="80"/>
      </w:pPr>
      <w:r>
        <w:rPr>
          <w:b/>
          <w:bCs/>
        </w:rPr>
        <w:t xml:space="preserve">Mirror workspace: </w:t>
      </w:r>
      <w:r>
        <w:t xml:space="preserve">'Forfront IL portfolio' (typo preserved). ID: 2228567565199236. OWNER access.</w:t>
      </w:r>
    </w:p>
    <w:p>
      <w:pPr>
        <w:pStyle w:val="ListParagraph"/>
        <w:numPr>
          <w:ilvl w:val="0"/>
          <w:numId w:val="2"/>
        </w:numPr>
        <w:spacing w:after="80"/>
      </w:pPr>
      <w:r>
        <w:rPr>
          <w:b/>
          <w:bCs/>
        </w:rPr>
        <w:t xml:space="preserve">Buyout folder (next session needs): </w:t>
      </w:r>
      <w:r>
        <w:t xml:space="preserve">855118821255044 — browse to find per-project Buyout sheets.</w:t>
      </w:r>
    </w:p>
    <w:p>
      <w:pPr>
        <w:pStyle w:val="ListParagraph"/>
        <w:numPr>
          <w:ilvl w:val="0"/>
          <w:numId w:val="2"/>
        </w:numPr>
        <w:spacing w:after="80"/>
      </w:pPr>
      <w:r>
        <w:rPr>
          <w:b/>
          <w:bCs/>
        </w:rPr>
        <w:t xml:space="preserve">Confirmed source sheets: </w:t>
      </w:r>
      <w:r>
        <w:t xml:space="preserve">1417836219027332 (Schedule, source for Bradley 1), 5931426745634692 (Financial Ledger mega-sheet, 2,100 rows), 220029969715076 (Portfolio Closeout — confirmed to be Bradley 1's K-1 tracker despite name), 2906120501809028 (DFR mega-sheet, 742 rows).</w:t>
      </w:r>
    </w:p>
    <w:p>
      <w:pPr>
        <w:pStyle w:val="Heading1"/>
      </w:pPr>
      <w:r>
        <w:t xml:space="preserve">The blocker — RESOLVED</w:t>
      </w:r>
    </w:p>
    <w:p>
      <w:pPr>
        <w:spacing w:after="120"/>
      </w:pPr>
      <w:r>
        <w:t xml:space="preserve">v1's blocker (Smartsheet MCP doesn't expose column IDs for cloned sheets) is fully resolved. The fix landed as a small REST helper:</w:t>
      </w:r>
    </w:p>
    <w:p>
      <w:pPr>
        <w:pStyle w:val="Heading3"/>
      </w:pPr>
      <w:r>
        <w:t xml:space="preserve">Helper toolkit (/home/claude/ — needs to move to Seth's local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b/>
                <w:bCs/>
                <w:color w:val="FFFFFF"/>
                <w:sz w:val="20"/>
                <w:szCs w:val="20"/>
              </w:rPr>
              <w:t xml:space="preserve">File</w:t>
            </w:r>
          </w:p>
        </w:tc>
        <w:tc>
          <w:tcPr>
            <w:tcW w:type="dxa" w:w="6084"/>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b/>
                <w:bCs/>
                <w:color w:val="FFFFFF"/>
                <w:sz w:val="20"/>
                <w:szCs w:val="20"/>
              </w:rPr>
              <w:t xml:space="preserve">Purpose</w:t>
            </w:r>
          </w:p>
        </w:tc>
      </w:tr>
      <w:tr>
        <w:tc>
          <w:tcPr>
            <w:tcW w:type="dxa" w:w="327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ss_api.py</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Smartsheet REST helper. Wraps GET/PUT/POST against /sheets, /folders. Reads SMARTSHEET_TOKEN env var. CLI: whoami / columns &lt;sid&gt; / rename-folder &lt;fid&gt; &lt;name&gt; / get-sheet &lt;sid&gt;.</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migrate_schedule.py</w:t>
            </w:r>
          </w:p>
        </w:tc>
        <w:tc>
          <w:tcPr>
            <w:tcW w:type="dxa" w:w="608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Bradley 1 Schedule migration (DONE). Includes predecessor remap logic that handles FS/SS/lag modifiers.</w:t>
            </w:r>
          </w:p>
        </w:tc>
      </w:tr>
      <w:tr>
        <w:tc>
          <w:tcPr>
            <w:tcW w:type="dxa" w:w="327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migrate_closeout.py</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Bradley 1 Closeout K-1 migration (DONE). Hierarchical writes with normalization rules from Q1–Q5.</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build_human_review.py</w:t>
            </w:r>
          </w:p>
        </w:tc>
        <w:tc>
          <w:tcPr>
            <w:tcW w:type="dxa" w:w="608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Provisions WPR_Pending_Review + ITS_Review_Queue inside 06.</w:t>
            </w:r>
          </w:p>
        </w:tc>
      </w:tr>
      <w:tr>
        <w:tc>
          <w:tcPr>
            <w:tcW w:type="dxa" w:w="327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migrate_schedule_dryrun.py</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Dry-run inspector for schedule (reusable pattern for any migration).</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inspect_source_schedule.py</w:t>
            </w:r>
          </w:p>
        </w:tc>
        <w:tc>
          <w:tcPr>
            <w:tcW w:type="dxa" w:w="608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Inspector for the source schedule.</w:t>
            </w:r>
          </w:p>
        </w:tc>
      </w:tr>
      <w:tr>
        <w:tc>
          <w:tcPr>
            <w:tcW w:type="dxa" w:w="327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inspect_closeout.py</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Inspector for Closeout K-1 source.</w:t>
            </w:r>
          </w:p>
        </w:tc>
      </w:tr>
      <w:tr>
        <w:tc>
          <w:tcPr>
            <w:tcW w:type="dxa" w:w="327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nsolas" w:cs="Consolas" w:eastAsia="Consolas" w:hAnsi="Consolas"/>
                <w:sz w:val="18"/>
                <w:szCs w:val="18"/>
              </w:rPr>
              <w:t xml:space="preserve">classify_closeout.py</w:t>
            </w:r>
          </w:p>
        </w:tc>
        <w:tc>
          <w:tcPr>
            <w:tcW w:type="dxa" w:w="608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sz w:val="20"/>
                <w:szCs w:val="20"/>
              </w:rPr>
              <w:t xml:space="preserve">Classifier — section / subsection / deliverable / empty / master_rollup.</w:t>
            </w:r>
          </w:p>
        </w:tc>
      </w:tr>
    </w:tbl>
    <w:p>
      <w:pPr>
        <w:spacing w:after="120"/>
      </w:pPr>
      <w:r>
        <w:t xml:space="preserve">Pattern: always dry-run / inspect before write. Idempotency guard (abort if destination has rows) is on the real migration scripts. New migrations should follow the same pattern: inspect → build cell mapping → dry-run → write → verify.</w:t>
      </w:r>
    </w:p>
    <w:p>
      <w:pPr>
        <w:pStyle w:val="Heading1"/>
      </w:pPr>
      <w:r>
        <w:t xml:space="preserve">Financial Ledger pre-flight (next priority)</w:t>
      </w:r>
    </w:p>
    <w:p>
      <w:pPr>
        <w:pStyle w:val="ListParagraph"/>
        <w:numPr>
          <w:ilvl w:val="0"/>
          <w:numId w:val="2"/>
        </w:numPr>
        <w:spacing w:after="80"/>
      </w:pPr>
      <w:r>
        <w:rPr>
          <w:b/>
          <w:bCs/>
        </w:rPr>
        <w:t xml:space="preserve">Source: </w:t>
      </w:r>
      <w:r>
        <w:t xml:space="preserve">5931426745634692 — '4. Portfolio Financials' in mirror workspace.</w:t>
      </w:r>
    </w:p>
    <w:p>
      <w:pPr>
        <w:pStyle w:val="ListParagraph"/>
        <w:numPr>
          <w:ilvl w:val="0"/>
          <w:numId w:val="2"/>
        </w:numPr>
        <w:spacing w:after="80"/>
      </w:pPr>
      <w:r>
        <w:rPr>
          <w:b/>
          <w:bCs/>
        </w:rPr>
        <w:t xml:space="preserve">Dest: </w:t>
      </w:r>
      <w:r>
        <w:t xml:space="preserve">4956333341101956 — Bradley 1 / Financial Ledger (11 cols).</w:t>
      </w:r>
    </w:p>
    <w:p>
      <w:pPr>
        <w:pStyle w:val="ListParagraph"/>
        <w:numPr>
          <w:ilvl w:val="0"/>
          <w:numId w:val="2"/>
        </w:numPr>
        <w:spacing w:after="80"/>
      </w:pPr>
      <w:r>
        <w:rPr>
          <w:b/>
          <w:bCs/>
        </w:rPr>
        <w:t xml:space="preserve">Volume: </w:t>
      </w:r>
      <w:r>
        <w:t xml:space="preserve">~2,100 rows total in source. Bradley 1 is a SUBSET.</w:t>
      </w:r>
    </w:p>
    <w:p>
      <w:pPr>
        <w:pStyle w:val="ListParagraph"/>
        <w:numPr>
          <w:ilvl w:val="0"/>
          <w:numId w:val="2"/>
        </w:numPr>
        <w:spacing w:after="80"/>
      </w:pPr>
      <w:r>
        <w:rPr>
          <w:b/>
          <w:bCs/>
        </w:rPr>
        <w:t xml:space="preserve">Challenge: </w:t>
      </w:r>
      <w:r>
        <w:t xml:space="preserve">Hand-built 'vendor block' layout — each vendor has its own visual block (header row, line items, subtotal row) instead of one row per transaction. Migration must normalize to one-row-per-transaction.</w:t>
      </w:r>
    </w:p>
    <w:p>
      <w:pPr>
        <w:pStyle w:val="Heading3"/>
      </w:pPr>
      <w:r>
        <w:t xml:space="preserve">Inspection steps for next session (before any writes)</w:t>
      </w:r>
    </w:p>
    <w:p>
      <w:pPr>
        <w:pStyle w:val="ListParagraph"/>
        <w:numPr>
          <w:ilvl w:val="0"/>
          <w:numId w:val="2"/>
        </w:numPr>
        <w:spacing w:after="80"/>
      </w:pPr>
      <w:r>
        <w:t xml:space="preserve">Pull destination columns: `python3 ss_api.py columns 4956333341101956`</w:t>
      </w:r>
    </w:p>
    <w:p>
      <w:pPr>
        <w:pStyle w:val="ListParagraph"/>
        <w:numPr>
          <w:ilvl w:val="0"/>
          <w:numId w:val="2"/>
        </w:numPr>
        <w:spacing w:after="80"/>
      </w:pPr>
      <w:r>
        <w:t xml:space="preserve">Pull source full row count + first ~30 rows to understand the vendor-block pattern: how are blocks delimited? (Blank rows? Header row with bold? Specific column pattern?)</w:t>
      </w:r>
    </w:p>
    <w:p>
      <w:pPr>
        <w:pStyle w:val="ListParagraph"/>
        <w:numPr>
          <w:ilvl w:val="0"/>
          <w:numId w:val="2"/>
        </w:numPr>
        <w:spacing w:after="80"/>
      </w:pPr>
      <w:r>
        <w:t xml:space="preserve">Identify the project filter: where does 'Bradley 1' live in the source? Could be a column value, a section header in column 1, or a separate sheet section.</w:t>
      </w:r>
    </w:p>
    <w:p>
      <w:pPr>
        <w:pStyle w:val="ListParagraph"/>
        <w:numPr>
          <w:ilvl w:val="0"/>
          <w:numId w:val="2"/>
        </w:numPr>
        <w:spacing w:after="80"/>
      </w:pPr>
      <w:r>
        <w:t xml:space="preserve">Catalog distinct vendors observed in the Bradley 1 subset → these seed the Subcontractor DB and Vendor DB later.</w:t>
      </w:r>
    </w:p>
    <w:p>
      <w:pPr>
        <w:pStyle w:val="ListParagraph"/>
        <w:numPr>
          <w:ilvl w:val="0"/>
          <w:numId w:val="2"/>
        </w:numPr>
        <w:spacing w:after="80"/>
      </w:pPr>
      <w:r>
        <w:t xml:space="preserve">Pre-flight write: a small sample (5–10 rows) to verify the normalization rules before committing the full migration.</w:t>
      </w:r>
    </w:p>
    <w:p>
      <w:pPr>
        <w:pStyle w:val="Heading1"/>
      </w:pPr>
      <w:r>
        <w:t xml:space="preserve">Decisions made this session (do not relitigate)</w:t>
      </w:r>
    </w:p>
    <w:p>
      <w:pPr>
        <w:pStyle w:val="Heading2"/>
      </w:pPr>
      <w:r>
        <w:t xml:space="preserve">Structural</w:t>
      </w:r>
    </w:p>
    <w:p>
      <w:pPr>
        <w:pStyle w:val="ListParagraph"/>
        <w:numPr>
          <w:ilvl w:val="0"/>
          <w:numId w:val="2"/>
        </w:numPr>
        <w:spacing w:after="80"/>
      </w:pPr>
      <w:r>
        <w:rPr>
          <w:b/>
          <w:bCs/>
        </w:rPr>
        <w:t xml:space="preserve">Option A (verbiage tweak) chosen </w:t>
      </w:r>
      <w:r>
        <w:t xml:space="preserve">over restructuring. Numbered top-level folders preserved; 05 renamed to use Evergreen's actual JHA/TBT verbiage.</w:t>
      </w:r>
    </w:p>
    <w:p>
      <w:pPr>
        <w:pStyle w:val="ListParagraph"/>
        <w:numPr>
          <w:ilvl w:val="0"/>
          <w:numId w:val="2"/>
        </w:numPr>
        <w:spacing w:after="80"/>
      </w:pPr>
      <w:r>
        <w:rPr>
          <w:b/>
          <w:bCs/>
        </w:rPr>
        <w:t xml:space="preserve">06 — Human Review added </w:t>
      </w:r>
      <w:r>
        <w:t xml:space="preserve">at top level. Hosts PM-facing automation control plane (gated send + ambiguous-match resolution). Admin sheets (ITS_Config, ITS_Errors) deliberately NOT placed here — separate home decision pending.</w:t>
      </w:r>
    </w:p>
    <w:p>
      <w:pPr>
        <w:pStyle w:val="Heading2"/>
      </w:pPr>
      <w:r>
        <w:t xml:space="preserve">Closeout K-1 normalization rules (applied)</w:t>
      </w:r>
    </w:p>
    <w:p>
      <w:pPr>
        <w:pStyle w:val="ListParagraph"/>
        <w:numPr>
          <w:ilvl w:val="0"/>
          <w:numId w:val="2"/>
        </w:numPr>
        <w:spacing w:after="80"/>
      </w:pPr>
      <w:r>
        <w:rPr>
          <w:b/>
          <w:bCs/>
        </w:rPr>
        <w:t xml:space="preserve">Q1 — Source filter: </w:t>
      </w:r>
      <w:r>
        <w:t xml:space="preserve">the entire source sheet IS Bradley 1's K-1 (confirmed by browsing — no per-project version exists in the mirror Portfolio Closeout folder).</w:t>
      </w:r>
    </w:p>
    <w:p>
      <w:pPr>
        <w:pStyle w:val="ListParagraph"/>
        <w:numPr>
          <w:ilvl w:val="0"/>
          <w:numId w:val="2"/>
        </w:numPr>
        <w:spacing w:after="80"/>
      </w:pPr>
      <w:r>
        <w:rPr>
          <w:b/>
          <w:bCs/>
        </w:rPr>
        <w:t xml:space="preserve">Q2 — 'Owner Provided' values: </w:t>
      </w:r>
      <w:r>
        <w:t xml:space="preserve">mapped to 'Not Applicable' in both Evergreen Submission Status and Luminace Review Status. Plus implicit fixes: '**COMPLETE**' → 'Complete', '&lt;&lt;Evergreen&lt;&lt;' → 'Evergreen', '&gt;&gt;Luminace&gt;&gt;' → 'Luminace', 'Not yet Submitted' → 'Not Yet Submitted'.</w:t>
      </w:r>
    </w:p>
    <w:p>
      <w:pPr>
        <w:pStyle w:val="ListParagraph"/>
        <w:numPr>
          <w:ilvl w:val="0"/>
          <w:numId w:val="2"/>
        </w:numPr>
        <w:spacing w:after="80"/>
      </w:pPr>
      <w:r>
        <w:rPr>
          <w:b/>
          <w:bCs/>
        </w:rPr>
        <w:t xml:space="preserve">Q3 — % Complete: </w:t>
      </w:r>
      <w:r>
        <w:t xml:space="preserve">True (boolean) → '100%'; preserve percentage strings as-is ('73.13433%' stays as-is); blank stays blank. No False values observed; if encountered, normalize to '0%'.</w:t>
      </w:r>
    </w:p>
    <w:p>
      <w:pPr>
        <w:pStyle w:val="ListParagraph"/>
        <w:numPr>
          <w:ilvl w:val="0"/>
          <w:numId w:val="2"/>
        </w:numPr>
        <w:spacing w:after="80"/>
      </w:pPr>
      <w:r>
        <w:rPr>
          <w:b/>
          <w:bCs/>
        </w:rPr>
        <w:t xml:space="preserve">Q4 — Section headers: </w:t>
      </w:r>
      <w:r>
        <w:t xml:space="preserve">migrate as parent rows with children indented under them. Result: 3-level hierarchy (4 sections / 21 subsections / 67 deliverables). Empty trailing rows (23 of them) skipped. Master rollup row 'TOTAL SHEET % COMPLETE' skipped.</w:t>
      </w:r>
    </w:p>
    <w:p>
      <w:pPr>
        <w:pStyle w:val="ListParagraph"/>
        <w:numPr>
          <w:ilvl w:val="0"/>
          <w:numId w:val="2"/>
        </w:numPr>
        <w:spacing w:after="80"/>
      </w:pPr>
      <w:r>
        <w:rPr>
          <w:b/>
          <w:bCs/>
        </w:rPr>
        <w:t xml:space="preserve">Q5 — Date Modified + Modified By: </w:t>
      </w:r>
      <w:r>
        <w:t xml:space="preserve">appended to Latest Comment as '[Modified YYYY-MM-DD by email]'. Modified By ALSO written to Comment Author.</w:t>
      </w:r>
    </w:p>
    <w:p>
      <w:pPr>
        <w:spacing w:after="120"/>
      </w:pPr>
      <w:r>
        <w:t xml:space="preserve">If extending these rules to other tracker-style migrations (e.g., punchlist, RFI log), reuse the same patterns: normalize_status, normalize_ball_in_court, normalize_pct_complete, build_comment helpers in migrate_closeout.py.</w:t>
      </w:r>
    </w:p>
    <w:p>
      <w:pPr>
        <w:pStyle w:val="Heading2"/>
      </w:pPr>
      <w:r>
        <w:t xml:space="preserve">Carried forward from v1 (unchanged)</w:t>
      </w:r>
    </w:p>
    <w:p>
      <w:pPr>
        <w:pStyle w:val="ListParagraph"/>
        <w:numPr>
          <w:ilvl w:val="0"/>
          <w:numId w:val="2"/>
        </w:numPr>
        <w:spacing w:after="80"/>
      </w:pPr>
      <w:r>
        <w:rPr>
          <w:b/>
          <w:bCs/>
        </w:rPr>
        <w:t xml:space="preserve">Customer for Forefront IL portfolio = Luminace. </w:t>
      </w:r>
      <w:r>
        <w:t xml:space="preserve">Forefront is developer/portfolio name.</w:t>
      </w:r>
    </w:p>
    <w:p>
      <w:pPr>
        <w:pStyle w:val="ListParagraph"/>
        <w:numPr>
          <w:ilvl w:val="0"/>
          <w:numId w:val="2"/>
        </w:numPr>
        <w:spacing w:after="80"/>
      </w:pPr>
      <w:r>
        <w:rPr>
          <w:b/>
          <w:bCs/>
        </w:rPr>
        <w:t xml:space="preserve">Use the latest Schedule version </w:t>
      </w:r>
      <w:r>
        <w:t xml:space="preserve">(Bradley 12.8.25), not older versions.</w:t>
      </w:r>
    </w:p>
    <w:p>
      <w:pPr>
        <w:pStyle w:val="ListParagraph"/>
        <w:numPr>
          <w:ilvl w:val="0"/>
          <w:numId w:val="2"/>
        </w:numPr>
        <w:spacing w:after="80"/>
      </w:pPr>
      <w:r>
        <w:rPr>
          <w:b/>
          <w:bCs/>
        </w:rPr>
        <w:t xml:space="preserve">Subs/Vendors free-text in per-project sheets now, </w:t>
      </w:r>
      <w:r>
        <w:t xml:space="preserve">cross-ref to Operations DBs in Phase 2.</w:t>
      </w:r>
    </w:p>
    <w:p>
      <w:pPr>
        <w:pStyle w:val="ListParagraph"/>
        <w:numPr>
          <w:ilvl w:val="0"/>
          <w:numId w:val="2"/>
        </w:numPr>
        <w:spacing w:after="80"/>
      </w:pPr>
      <w:r>
        <w:rPr>
          <w:b/>
          <w:bCs/>
        </w:rPr>
        <w:t xml:space="preserve">Forward-looking sheets (Permits, Submittals, RFIs, Drawings) stay EMPTY in the demo. </w:t>
      </w:r>
      <w:r>
        <w:t xml:space="preserve">Adoption hook.</w:t>
      </w:r>
    </w:p>
    <w:p>
      <w:pPr>
        <w:pStyle w:val="ListParagraph"/>
        <w:numPr>
          <w:ilvl w:val="0"/>
          <w:numId w:val="2"/>
        </w:numPr>
        <w:spacing w:after="80"/>
      </w:pPr>
      <w:r>
        <w:rPr>
          <w:b/>
          <w:bCs/>
        </w:rPr>
        <w:t xml:space="preserve">Schemas approved as-is. </w:t>
      </w:r>
      <w:r>
        <w:t xml:space="preserve">No column polish. Schemas locked except the BEST-INFERENCE ITS_Review_Queue schema flagged above.</w:t>
      </w:r>
    </w:p>
    <w:p>
      <w:pPr>
        <w:pStyle w:val="Heading1"/>
      </w:pPr>
      <w:r>
        <w:t xml:space="preserve">Resume plan — Exact order of operations</w:t>
      </w:r>
    </w:p>
    <w:p>
      <w:pPr>
        <w:pStyle w:val="ListParagraph"/>
        <w:numPr>
          <w:ilvl w:val="0"/>
          <w:numId w:val="2"/>
        </w:numPr>
        <w:spacing w:after="80"/>
      </w:pPr>
      <w:r>
        <w:rPr>
          <w:b/>
          <w:bCs/>
        </w:rPr>
        <w:t xml:space="preserve">Validate state. </w:t>
      </w:r>
      <w:r>
        <w:t xml:space="preserve">Browse workspace 4129485730670468 and confirm the 6 top-level folders (01–06) match this doc. Confirm Bradley 1 / Schedule has 53 rows and Bradley 1 / Closeout — Exhibit K-1 has 92 rows. If any drift, ASK Seth before proceeding.</w:t>
      </w:r>
    </w:p>
    <w:p>
      <w:pPr>
        <w:pStyle w:val="ListParagraph"/>
        <w:numPr>
          <w:ilvl w:val="0"/>
          <w:numId w:val="2"/>
        </w:numPr>
        <w:spacing w:after="80"/>
      </w:pPr>
      <w:r>
        <w:rPr>
          <w:b/>
          <w:bCs/>
        </w:rPr>
        <w:t xml:space="preserve">Get Seth's API token. </w:t>
      </w:r>
      <w:r>
        <w:t xml:space="preserve">Export as SMARTSHEET_TOKEN env var. (Old token was rotated after v1 build — Seth has a fresh one.)</w:t>
      </w:r>
    </w:p>
    <w:p>
      <w:pPr>
        <w:pStyle w:val="ListParagraph"/>
        <w:numPr>
          <w:ilvl w:val="0"/>
          <w:numId w:val="2"/>
        </w:numPr>
        <w:spacing w:after="80"/>
      </w:pPr>
      <w:r>
        <w:rPr>
          <w:b/>
          <w:bCs/>
        </w:rPr>
        <w:t xml:space="preserve">Bring the migration toolkit. </w:t>
      </w:r>
      <w:r>
        <w:t xml:space="preserve">Either copy /home/claude/*.py from prior session OR re-create from this doc's helper toolkit section. ss_api.py is the foundation; others extend it.</w:t>
      </w:r>
    </w:p>
    <w:p>
      <w:pPr>
        <w:pStyle w:val="ListParagraph"/>
        <w:numPr>
          <w:ilvl w:val="0"/>
          <w:numId w:val="2"/>
        </w:numPr>
        <w:spacing w:after="80"/>
      </w:pPr>
      <w:r>
        <w:rPr>
          <w:b/>
          <w:bCs/>
        </w:rPr>
        <w:t xml:space="preserve">Financial Ledger pre-flight. </w:t>
      </w:r>
      <w:r>
        <w:t xml:space="preserve">Run inspection steps from 'Financial Ledger pre-flight' section above. Surface findings to Seth. Make normalization decisions. THEN write.</w:t>
      </w:r>
    </w:p>
    <w:p>
      <w:pPr>
        <w:pStyle w:val="ListParagraph"/>
        <w:numPr>
          <w:ilvl w:val="0"/>
          <w:numId w:val="2"/>
        </w:numPr>
        <w:spacing w:after="80"/>
      </w:pPr>
      <w:r>
        <w:rPr>
          <w:b/>
          <w:bCs/>
        </w:rPr>
        <w:t xml:space="preserve">Migrate Buyouts (Subs / Materials / Equipment). </w:t>
      </w:r>
      <w:r>
        <w:t xml:space="preserve">Browse mirror Buyout folder (855118821255044) to find sources. Migrate each in turn.</w:t>
      </w:r>
    </w:p>
    <w:p>
      <w:pPr>
        <w:pStyle w:val="ListParagraph"/>
        <w:numPr>
          <w:ilvl w:val="0"/>
          <w:numId w:val="2"/>
        </w:numPr>
        <w:spacing w:after="80"/>
      </w:pPr>
      <w:r>
        <w:rPr>
          <w:b/>
          <w:bCs/>
        </w:rPr>
        <w:t xml:space="preserve">Seed Operations DBs. </w:t>
      </w:r>
      <w:r>
        <w:t xml:space="preserve">From Buyout observations: Subcontractor DB, Vendor DB. Equipment Master gets standard equipment types regardless.</w:t>
      </w:r>
    </w:p>
    <w:p>
      <w:pPr>
        <w:pStyle w:val="ListParagraph"/>
        <w:numPr>
          <w:ilvl w:val="0"/>
          <w:numId w:val="2"/>
        </w:numPr>
        <w:spacing w:after="80"/>
      </w:pPr>
      <w:r>
        <w:rPr>
          <w:b/>
          <w:bCs/>
        </w:rPr>
        <w:t xml:space="preserve">DFR backfill. </w:t>
      </w:r>
      <w:r>
        <w:t xml:space="preserve">Two more Bradley 1 weeks from DFR source sheet 2906120501809028.</w:t>
      </w:r>
    </w:p>
    <w:p>
      <w:pPr>
        <w:pStyle w:val="ListParagraph"/>
        <w:numPr>
          <w:ilvl w:val="0"/>
          <w:numId w:val="2"/>
        </w:numPr>
        <w:spacing w:after="80"/>
      </w:pPr>
      <w:r>
        <w:rPr>
          <w:b/>
          <w:bCs/>
        </w:rPr>
        <w:t xml:space="preserve">Gantt + Dependencies enable. </w:t>
      </w:r>
      <w:r>
        <w:t xml:space="preserve">Seth does this manually via UI on the 6 Schedule sheets (Sheet → Project Settings → enable Gantt + Dependencies). Two-click toggle per sheet. After enabling on Bradley 1, run a small REST PUT to convert Duration/Predecessors columns to native types and the remapped predecessors will activate.</w:t>
      </w:r>
    </w:p>
    <w:p>
      <w:pPr>
        <w:pStyle w:val="ListParagraph"/>
        <w:numPr>
          <w:ilvl w:val="0"/>
          <w:numId w:val="2"/>
        </w:numPr>
        <w:spacing w:after="80"/>
      </w:pPr>
      <w:r>
        <w:rPr>
          <w:b/>
          <w:bCs/>
        </w:rPr>
        <w:t xml:space="preserve">Portfolio Rollups. </w:t>
      </w:r>
      <w:r>
        <w:t xml:space="preserve">4–5 cross-project Reports inside 02 — Portfolio Rollups. Reports are a different Smartsheet object — verify MCP/REST support before promising scope.</w:t>
      </w:r>
    </w:p>
    <w:p>
      <w:pPr>
        <w:pStyle w:val="Heading1"/>
      </w:pPr>
      <w:r>
        <w:t xml:space="preserve">Known issues &amp; quirks</w:t>
      </w:r>
    </w:p>
    <w:p>
      <w:pPr>
        <w:pStyle w:val="ListParagraph"/>
        <w:numPr>
          <w:ilvl w:val="0"/>
          <w:numId w:val="2"/>
        </w:numPr>
        <w:spacing w:after="80"/>
      </w:pPr>
      <w:r>
        <w:rPr>
          <w:b/>
          <w:bCs/>
        </w:rPr>
        <w:t xml:space="preserve">ITS_Review_Queue schema is best-inference. </w:t>
      </w:r>
      <w:r>
        <w:t xml:space="preserve">Built from shared/review_queue.py stub. Needs focused review before automation goes live. Don't unilaterally redesign; surface for Seth's review.</w:t>
      </w:r>
    </w:p>
    <w:p>
      <w:pPr>
        <w:pStyle w:val="ListParagraph"/>
        <w:numPr>
          <w:ilvl w:val="0"/>
          <w:numId w:val="2"/>
        </w:numPr>
        <w:spacing w:after="80"/>
      </w:pPr>
      <w:r>
        <w:rPr>
          <w:b/>
          <w:bCs/>
        </w:rPr>
        <w:t xml:space="preserve">Closeout K-1 destination has both ESS and LRS columns, </w:t>
      </w:r>
      <w:r>
        <w:t xml:space="preserve">not the merged 'Status' column v1 anticipated. Migration adapted; no merge happened.</w:t>
      </w:r>
    </w:p>
    <w:p>
      <w:pPr>
        <w:pStyle w:val="ListParagraph"/>
        <w:numPr>
          <w:ilvl w:val="0"/>
          <w:numId w:val="2"/>
        </w:numPr>
        <w:spacing w:after="80"/>
      </w:pPr>
      <w:r>
        <w:rPr>
          <w:b/>
          <w:bCs/>
        </w:rPr>
        <w:t xml:space="preserve">'Submission Date' (DATE) and 'Category' (PICKLIST) destination columns are unpopulated </w:t>
      </w:r>
      <w:r>
        <w:t xml:space="preserve">after Closeout K-1 migration. Source had no clean analog. PMs can fill these in as they work the tracker.</w:t>
      </w:r>
    </w:p>
    <w:p>
      <w:pPr>
        <w:pStyle w:val="ListParagraph"/>
        <w:numPr>
          <w:ilvl w:val="0"/>
          <w:numId w:val="2"/>
        </w:numPr>
        <w:spacing w:after="80"/>
      </w:pPr>
      <w:r>
        <w:rPr>
          <w:b/>
          <w:bCs/>
        </w:rPr>
        <w:t xml:space="preserve">Audit columns (CREATED_BY / MODIFIED_BY / CREATED_DATE / MODIFIED_DATE) </w:t>
      </w:r>
      <w:r>
        <w:t xml:space="preserve">still error during sheet creation via API. Add manually via UI if needed.</w:t>
      </w:r>
    </w:p>
    <w:p>
      <w:pPr>
        <w:pStyle w:val="ListParagraph"/>
        <w:numPr>
          <w:ilvl w:val="0"/>
          <w:numId w:val="2"/>
        </w:numPr>
        <w:spacing w:after="80"/>
      </w:pPr>
      <w:r>
        <w:rPr>
          <w:b/>
          <w:bCs/>
        </w:rPr>
        <w:t xml:space="preserve">AUTO_NUMBER primary keys </w:t>
      </w:r>
      <w:r>
        <w:t xml:space="preserve">still error with custom prefix/fill format. Current primary columns are plain TEXT_NUMBER.</w:t>
      </w:r>
    </w:p>
    <w:p>
      <w:pPr>
        <w:pStyle w:val="ListParagraph"/>
        <w:numPr>
          <w:ilvl w:val="0"/>
          <w:numId w:val="2"/>
        </w:numPr>
        <w:spacing w:after="80"/>
      </w:pPr>
      <w:r>
        <w:rPr>
          <w:b/>
          <w:bCs/>
        </w:rPr>
        <w:t xml:space="preserve">DURATION and PREDECESSOR column types </w:t>
      </w:r>
      <w:r>
        <w:t xml:space="preserve">still reserved for 'project sheets' — can't be set at create time via API. Schedule has these as TEXT_NUMBER. Convert via REST API after enabling Gantt + Dependencies.</w:t>
      </w:r>
    </w:p>
    <w:p>
      <w:pPr>
        <w:pStyle w:val="ListParagraph"/>
        <w:numPr>
          <w:ilvl w:val="0"/>
          <w:numId w:val="2"/>
        </w:numPr>
        <w:spacing w:after="80"/>
      </w:pPr>
      <w:r>
        <w:rPr>
          <w:b/>
          <w:bCs/>
        </w:rPr>
        <w:t xml:space="preserve">Smartsheet picklist validation flag </w:t>
      </w:r>
      <w:r>
        <w:t xml:space="preserve">still cannot be set at sheet creation. Requires update_column post-create — possible with the API token now.</w:t>
      </w:r>
    </w:p>
    <w:p>
      <w:pPr>
        <w:pStyle w:val="Heading1"/>
      </w:pPr>
      <w:r>
        <w:t xml:space="preserve">Memory updates to capture at end of session</w:t>
      </w:r>
    </w:p>
    <w:p>
      <w:pPr>
        <w:spacing w:after="120"/>
      </w:pPr>
      <w:r>
        <w:t xml:space="preserve">Add these to userMemories at next opportunity (memory_user_edits tool):</w:t>
      </w:r>
    </w:p>
    <w:p>
      <w:pPr>
        <w:pStyle w:val="ListParagraph"/>
        <w:numPr>
          <w:ilvl w:val="0"/>
          <w:numId w:val="2"/>
        </w:numPr>
        <w:spacing w:after="80"/>
      </w:pPr>
      <w:r>
        <w:t xml:space="preserve">ITS Smartsheet workspace structure now has 6 top-level folders (01–06). 06 — Human Review added 2026-05-16.</w:t>
      </w:r>
    </w:p>
    <w:p>
      <w:pPr>
        <w:pStyle w:val="ListParagraph"/>
        <w:numPr>
          <w:ilvl w:val="0"/>
          <w:numId w:val="2"/>
        </w:numPr>
        <w:spacing w:after="80"/>
      </w:pPr>
      <w:r>
        <w:t xml:space="preserve">Folder 05 renamed from 'Daily Field Reports' to 'Field Reports (JHA/TBT)' on 2026-05-16.</w:t>
      </w:r>
    </w:p>
    <w:p>
      <w:pPr>
        <w:pStyle w:val="ListParagraph"/>
        <w:numPr>
          <w:ilvl w:val="0"/>
          <w:numId w:val="2"/>
        </w:numPr>
        <w:spacing w:after="80"/>
      </w:pPr>
      <w:r>
        <w:t xml:space="preserve">Bradley 1 / Schedule and Bradley 1 / Closeout — Exhibit K-1 migrations complete as of 2026-05-16; Financial Ledger and Buyouts pending.</w:t>
      </w:r>
    </w:p>
    <w:p>
      <w:pPr>
        <w:pStyle w:val="ListParagraph"/>
        <w:numPr>
          <w:ilvl w:val="0"/>
          <w:numId w:val="2"/>
        </w:numPr>
        <w:spacing w:after="80"/>
      </w:pPr>
      <w:r>
        <w:t xml:space="preserve">Smartsheet column-ID blocker resolved via ss_api.py REST helper (reads SMARTSHEET_TOKEN env var). Reusable for all future migrations.</w:t>
      </w:r>
    </w:p>
    <w:p>
      <w:pPr>
        <w:pStyle w:val="ListParagraph"/>
        <w:numPr>
          <w:ilvl w:val="0"/>
          <w:numId w:val="2"/>
        </w:numPr>
        <w:spacing w:after="80"/>
      </w:pPr>
      <w:r>
        <w:t xml:space="preserve">Closeout K-1 normalization rules established 2026-05-16 (Q1–Q5 decisions). Pattern reusable for tracker-style migrations.</w:t>
      </w:r>
    </w:p>
    <w:p>
      <w:pPr>
        <w:pStyle w:val="ListParagraph"/>
        <w:numPr>
          <w:ilvl w:val="0"/>
          <w:numId w:val="2"/>
        </w:numPr>
        <w:spacing w:after="80"/>
      </w:pPr>
      <w:r>
        <w:t xml:space="preserve">06 — Human Review currently contains WPR_Pending_Review (canonical schema, ID 3096105695793028) and ITS_Review_Queue (best-inference schema, ID 7243317526876036, needs review).</w:t>
      </w:r>
    </w:p>
    <w:p>
      <w:pPr>
        <w:spacing w:before="240"/>
      </w:pPr>
      <w:r>
        <w:rPr>
          <w:i/>
          <w:iCs/>
          <w:sz w:val="20"/>
          <w:szCs w:val="20"/>
        </w:rPr>
        <w:t xml:space="preserve">End of handoff v2. Next session: Financial Ledger.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i/>
        <w:iCs/>
        <w:color w:val="666666"/>
        <w:sz w:val="18"/>
        <w:szCs w:val="18"/>
      </w:rPr>
      <w:t xml:space="preserve">ITS Smartsheet Filing System — Handoff v2 — 2026-05-17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A87"/>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2026-05-17T01:49:02.310Z</dcterms:created>
  <dcterms:modified xsi:type="dcterms:W3CDTF">2026-05-17T01:49:02.310Z</dcterms:modified>
</cp:coreProperties>
</file>

<file path=docProps/custom.xml><?xml version="1.0" encoding="utf-8"?>
<Properties xmlns="http://schemas.openxmlformats.org/officeDocument/2006/custom-properties" xmlns:vt="http://schemas.openxmlformats.org/officeDocument/2006/docPropsVTypes"/>
</file>