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drawing>
          <wp:inline distT="0" distB="0" distL="0" distR="0">
            <wp:extent cx="2571750" cy="2571750"/>
            <wp:effectExtent t="0" r="0" b="0" l="0"/>
            <wp:docPr id="1" name="Solvane Hub logo" descr="Solvane Hub logo" title="Solvane Hub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11111"/>
          <w:sz w:val="42"/>
          <w:szCs w:val="42"/>
        </w:rPr>
        <w:t xml:space="preserve">FOUNDERS WORKING SESSION</w:t>
      </w:r>
    </w:p>
    <w:p>
      <w:pPr>
        <w:spacing w:after="280"/>
        <w:jc w:val="center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Smart package systems • Brand launch • Content journey • El Salvador opportunity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Prepared for team discussion | August 8, 2026</w:t>
      </w:r>
    </w:p>
    <w:p>
      <w:pPr>
        <w:pBdr>
          <w:bottom w:val="single" w:color="E3C400" w:sz="18"/>
        </w:pBdr>
        <w:spacing w:after="80" w:before="120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E3C400"/>
          <w:sz w:val="22"/>
          <w:szCs w:val="22"/>
        </w:rPr>
        <w:t xml:space="preserve">Design. Strategy. Technology.</w:t>
      </w:r>
    </w:p>
    <w:p>
      <w:r>
        <w:br w:type="page"/>
      </w:r>
    </w:p>
    <w:p>
      <w:pPr>
        <w:pStyle w:val="Heading1"/>
        <w:pBdr>
          <w:bottom w:val="single" w:color="E3C400" w:sz="10" w:space="4"/>
        </w:pBdr>
        <w:spacing w:after="140" w:before="280"/>
      </w:pPr>
      <w:r>
        <w:rPr>
          <w:rFonts w:ascii="Arial" w:cs="Arial" w:eastAsia="Arial" w:hAnsi="Arial"/>
          <w:b/>
          <w:bCs/>
          <w:color w:val="111111"/>
        </w:rPr>
        <w:t xml:space="preserve">1. The opportunity in one sentence</w:t>
      </w:r>
    </w:p>
    <w:p>
      <w:pPr>
        <w:spacing w:after="140" w:line="300"/>
      </w:pPr>
      <w:r>
        <w:rPr>
          <w:rFonts w:ascii="Arial" w:cs="Arial" w:eastAsia="Arial" w:hAnsi="Arial"/>
        </w:rPr>
        <w:t xml:space="preserve">Solvane Hub can turn a real everyday pain point—unreliable package delivery in apartment buildings—into a visible proof of what we do: </w:t>
      </w:r>
      <w:r>
        <w:rPr>
          <w:rFonts w:ascii="Arial" w:cs="Arial" w:eastAsia="Arial" w:hAnsi="Arial"/>
          <w:b/>
          <w:bCs/>
        </w:rPr>
        <w:t xml:space="preserve">design practical technology, build it in public, and sell a cleaner resident experience to property owners.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111"/>
        </w:rPr>
        <w:t xml:space="preserve">What we need to leave this meeting with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11111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11111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outcome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Pilot problem</w:t>
            </w:r>
          </w:p>
        </w:tc>
        <w:tc>
          <w:tcPr>
            <w:tcW w:type="dxa" w:w="6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Define a 20–60 unit apartment-complex package prototype to validate demand before attempting full-scale hardware manufacturing.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Customer</w:t>
            </w:r>
          </w:p>
        </w:tc>
        <w:tc>
          <w:tcPr>
            <w:tcW w:type="dxa" w:w="6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Choose one building manager/owner willing to let us observe delivery friction and conduct resident interviews.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MVP scope</w:t>
            </w:r>
          </w:p>
        </w:tc>
        <w:tc>
          <w:tcPr>
            <w:tcW w:type="dxa" w:w="6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Build one demonstrable locker or secure package bay plus dashboard, alerts, and proof-of-delivery flow.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Brand launch</w:t>
            </w:r>
          </w:p>
        </w:tc>
        <w:tc>
          <w:tcPr>
            <w:tcW w:type="dxa" w:w="6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Reserve consistent handles, complete core visual kit, and publish a clear “what we build” intro.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Content</w:t>
            </w:r>
          </w:p>
        </w:tc>
        <w:tc>
          <w:tcPr>
            <w:tcW w:type="dxa" w:w="6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Create a documented-building journey with consent, a repeatable shot list, and a realistic production partner search.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El Salvador</w:t>
            </w:r>
          </w:p>
        </w:tc>
        <w:tc>
          <w:tcPr>
            <w:tcW w:type="dxa" w:w="6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Treat it as a research and relationships track—not an incorporation decision—until counsel confirms immigration, tax, IP, and import realities.</w:t>
            </w:r>
          </w:p>
        </w:tc>
      </w:tr>
    </w:tbl>
    <w:p>
      <w:pPr>
        <w:pStyle w:val="Heading1"/>
        <w:pBdr>
          <w:bottom w:val="single" w:color="E3C400" w:sz="10" w:space="4"/>
        </w:pBdr>
        <w:spacing w:after="140" w:before="280"/>
      </w:pPr>
      <w:r>
        <w:rPr>
          <w:rFonts w:ascii="Arial" w:cs="Arial" w:eastAsia="Arial" w:hAnsi="Arial"/>
          <w:b/>
          <w:bCs/>
          <w:color w:val="111111"/>
        </w:rPr>
        <w:t xml:space="preserve">2. Solvane Smart Package System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111"/>
        </w:rPr>
        <w:t xml:space="preserve">The problem to validate</w:t>
      </w:r>
    </w:p>
    <w:p>
      <w:pPr>
        <w:pStyle w:val="ListParagraph"/>
        <w:numPr>
          <w:ilvl w:val="0"/>
          <w:numId w:val="2"/>
        </w:numPr>
        <w:spacing w:after="75" w:line="280"/>
      </w:pPr>
      <w:r>
        <w:rPr>
          <w:rFonts w:ascii="Arial" w:cs="Arial" w:eastAsia="Arial" w:hAnsi="Arial"/>
        </w:rPr>
        <w:t xml:space="preserve">Residents miss deliveries, receive unclear notifications, or leave packages exposed in common areas.</w:t>
      </w:r>
    </w:p>
    <w:p>
      <w:pPr>
        <w:pStyle w:val="ListParagraph"/>
        <w:numPr>
          <w:ilvl w:val="0"/>
          <w:numId w:val="2"/>
        </w:numPr>
        <w:spacing w:after="75" w:line="280"/>
      </w:pPr>
      <w:r>
        <w:rPr>
          <w:rFonts w:ascii="Arial" w:cs="Arial" w:eastAsia="Arial" w:hAnsi="Arial"/>
        </w:rPr>
        <w:t xml:space="preserve">Property teams lose time handling exceptions, coordinating access, and answering “where is my package?” messages.</w:t>
      </w:r>
    </w:p>
    <w:p>
      <w:pPr>
        <w:pStyle w:val="ListParagraph"/>
        <w:numPr>
          <w:ilvl w:val="0"/>
          <w:numId w:val="2"/>
        </w:numPr>
        <w:spacing w:after="75" w:line="280"/>
      </w:pPr>
      <w:r>
        <w:rPr>
          <w:rFonts w:ascii="Arial" w:cs="Arial" w:eastAsia="Arial" w:hAnsi="Arial"/>
        </w:rPr>
        <w:t xml:space="preserve">Carriers need a fast, low-friction drop-off experience—especially during peak delivery windows.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111"/>
        </w:rPr>
        <w:t xml:space="preserve">Prototype concept: Solvane Parcel Hub</w:t>
      </w:r>
    </w:p>
    <w:p>
      <w:pPr>
        <w:spacing w:after="140" w:line="300"/>
      </w:pPr>
      <w:r>
        <w:rPr>
          <w:rFonts w:ascii="Arial" w:cs="Arial" w:eastAsia="Arial" w:hAnsi="Arial"/>
        </w:rPr>
        <w:t xml:space="preserve">A modular secure package station for apartment complexes: a carrier scans or enters a delivery code, chooses an available compartment, deposits the package, and the resident receives a pickup link or one-time QR/PIN. The first prototype should prove the experience—not pretend to be production hardware.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3900"/>
        <w:gridCol w:w="3710"/>
      </w:tblGrid>
      <w:tr>
        <w:tc>
          <w:tcPr>
            <w:tcW w:type="dxa" w:w="175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11111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11111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must prove</w:t>
            </w:r>
          </w:p>
        </w:tc>
        <w:tc>
          <w:tcPr>
            <w:tcW w:type="dxa" w:w="371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11111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Later / production</w:t>
            </w:r>
          </w:p>
        </w:tc>
      </w:tr>
      <w:tr>
        <w:tc>
          <w:tcPr>
            <w:tcW w:type="dxa" w:w="175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Physical unit</w:t>
            </w:r>
          </w:p>
        </w:tc>
        <w:tc>
          <w:tcPr>
            <w:tcW w:type="dxa" w:w="3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One secure compartment; latch/strike; door-open sensor; interior light; tamper log.</w:t>
            </w:r>
          </w:p>
        </w:tc>
        <w:tc>
          <w:tcPr>
            <w:tcW w:type="dxa" w:w="371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Multiple modular sizes, outdoor rating, accessibility, service panels, certified hardware.</w:t>
            </w:r>
          </w:p>
        </w:tc>
      </w:tr>
      <w:tr>
        <w:tc>
          <w:tcPr>
            <w:tcW w:type="dxa" w:w="175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Carrier flow</w:t>
            </w:r>
          </w:p>
        </w:tc>
        <w:tc>
          <w:tcPr>
            <w:tcW w:type="dxa" w:w="3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Fast drop-off with clear confirmation and manual fallback.</w:t>
            </w:r>
          </w:p>
        </w:tc>
        <w:tc>
          <w:tcPr>
            <w:tcW w:type="dxa" w:w="371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Carrier integrations, batch delivery, label scanning, SLA analytics.</w:t>
            </w:r>
          </w:p>
        </w:tc>
      </w:tr>
      <w:tr>
        <w:tc>
          <w:tcPr>
            <w:tcW w:type="dxa" w:w="175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Resident flow</w:t>
            </w:r>
          </w:p>
        </w:tc>
        <w:tc>
          <w:tcPr>
            <w:tcW w:type="dxa" w:w="3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SMS/email notice + QR/PIN pickup + audit record.</w:t>
            </w:r>
          </w:p>
        </w:tc>
        <w:tc>
          <w:tcPr>
            <w:tcW w:type="dxa" w:w="371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Native app, delegated pickup, returns, multilingual support.</w:t>
            </w:r>
          </w:p>
        </w:tc>
      </w:tr>
      <w:tr>
        <w:tc>
          <w:tcPr>
            <w:tcW w:type="dxa" w:w="175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Admin console</w:t>
            </w:r>
          </w:p>
        </w:tc>
        <w:tc>
          <w:tcPr>
            <w:tcW w:type="dxa" w:w="3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Unit status, exception resolution, event history.</w:t>
            </w:r>
          </w:p>
        </w:tc>
        <w:tc>
          <w:tcPr>
            <w:tcW w:type="dxa" w:w="371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Portfolio management, permissions, billing, reporting, integrations.</w:t>
            </w:r>
          </w:p>
        </w:tc>
      </w:tr>
      <w:tr>
        <w:tc>
          <w:tcPr>
            <w:tcW w:type="dxa" w:w="175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Trust &amp; safety</w:t>
            </w:r>
          </w:p>
        </w:tc>
        <w:tc>
          <w:tcPr>
            <w:tcW w:type="dxa" w:w="3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Mechanical override, event logging, privacy notice, no unnecessary cameras.</w:t>
            </w:r>
          </w:p>
        </w:tc>
        <w:tc>
          <w:tcPr>
            <w:tcW w:type="dxa" w:w="371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Security review, accessibility, insurance requirements, retention policies.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111"/>
        </w:rPr>
        <w:t xml:space="preserve">Pilot rules that protect the project</w:t>
      </w:r>
    </w:p>
    <w:p>
      <w:pPr>
        <w:pStyle w:val="ListParagraph"/>
        <w:numPr>
          <w:ilvl w:val="0"/>
          <w:numId w:val="2"/>
        </w:numPr>
        <w:spacing w:after="75" w:line="280"/>
      </w:pPr>
      <w:r>
        <w:rPr>
          <w:rFonts w:ascii="Arial" w:cs="Arial" w:eastAsia="Arial" w:hAnsi="Arial"/>
        </w:rPr>
        <w:t xml:space="preserve">Do not deploy a prototype at a property until the owner approves placement, power/network, access policy, insurance, and emergency/manual override.</w:t>
      </w:r>
    </w:p>
    <w:p>
      <w:pPr>
        <w:pStyle w:val="ListParagraph"/>
        <w:numPr>
          <w:ilvl w:val="0"/>
          <w:numId w:val="2"/>
        </w:numPr>
        <w:spacing w:after="75" w:line="280"/>
      </w:pPr>
      <w:r>
        <w:rPr>
          <w:rFonts w:ascii="Arial" w:cs="Arial" w:eastAsia="Arial" w:hAnsi="Arial"/>
        </w:rPr>
        <w:t xml:space="preserve">Avoid storing IDs, payment data, or continuous video. Collect only what the pilot needs: recipient contact, locker event timestamps, and delivery/pickup status.</w:t>
      </w:r>
    </w:p>
    <w:p>
      <w:pPr>
        <w:pStyle w:val="ListParagraph"/>
        <w:numPr>
          <w:ilvl w:val="0"/>
          <w:numId w:val="2"/>
        </w:numPr>
        <w:spacing w:after="75" w:line="280"/>
      </w:pPr>
      <w:r>
        <w:rPr>
          <w:rFonts w:ascii="Arial" w:cs="Arial" w:eastAsia="Arial" w:hAnsi="Arial"/>
        </w:rPr>
        <w:t xml:space="preserve">Start with simulated delivery runs before real packages. A beautiful demo can earn the first customer; real deliveries demand reliability.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111"/>
        </w:rPr>
        <w:t xml:space="preserve">90-day validation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6760"/>
      </w:tblGrid>
      <w:tr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11111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11111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6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11111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 gate</w:t>
            </w:r>
          </w:p>
        </w:tc>
      </w:tr>
      <w:tr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Discover</w:t>
            </w:r>
          </w:p>
        </w:tc>
        <w:tc>
          <w:tcPr>
            <w:tcW w:type="dxa" w:w="1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1–2</w:t>
            </w:r>
          </w:p>
        </w:tc>
        <w:tc>
          <w:tcPr>
            <w:tcW w:type="dxa" w:w="6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Interview 8–12 residents, 3–5 property operators, and 2–3 delivery drivers. Gate: a repeatable pain with a named pilot candidate.</w:t>
            </w:r>
          </w:p>
        </w:tc>
      </w:tr>
      <w:tr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Design</w:t>
            </w:r>
          </w:p>
        </w:tc>
        <w:tc>
          <w:tcPr>
            <w:tcW w:type="dxa" w:w="1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3–4</w:t>
            </w:r>
          </w:p>
        </w:tc>
        <w:tc>
          <w:tcPr>
            <w:tcW w:type="dxa" w:w="6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Journey map, service blueprint, hardware enclosure sketch, safety assumptions, pilot agreement outline.</w:t>
            </w:r>
          </w:p>
        </w:tc>
      </w:tr>
      <w:tr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Build</w:t>
            </w:r>
          </w:p>
        </w:tc>
        <w:tc>
          <w:tcPr>
            <w:tcW w:type="dxa" w:w="1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5–8</w:t>
            </w:r>
          </w:p>
        </w:tc>
        <w:tc>
          <w:tcPr>
            <w:tcW w:type="dxa" w:w="6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Working single-bay demo: lock + sensor + simple resident/admin web flow. Film the build.</w:t>
            </w:r>
          </w:p>
        </w:tc>
      </w:tr>
      <w:tr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Test</w:t>
            </w:r>
          </w:p>
        </w:tc>
        <w:tc>
          <w:tcPr>
            <w:tcW w:type="dxa" w:w="1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9–10</w:t>
            </w:r>
          </w:p>
        </w:tc>
        <w:tc>
          <w:tcPr>
            <w:tcW w:type="dxa" w:w="6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20+ simulated deliveries; measure completion, failure modes, pickup time, and operator intervention.</w:t>
            </w:r>
          </w:p>
        </w:tc>
      </w:tr>
      <w:tr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Pitch</w:t>
            </w:r>
          </w:p>
        </w:tc>
        <w:tc>
          <w:tcPr>
            <w:tcW w:type="dxa" w:w="1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11–12</w:t>
            </w:r>
          </w:p>
        </w:tc>
        <w:tc>
          <w:tcPr>
            <w:tcW w:type="dxa" w:w="6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Pilot demo, one-page ROI narrative, costed v2 plan, and proposal for a paid/partner pilot.</w:t>
            </w:r>
          </w:p>
        </w:tc>
      </w:tr>
    </w:tbl>
    <w:p>
      <w:pPr>
        <w:pStyle w:val="Heading1"/>
        <w:pBdr>
          <w:bottom w:val="single" w:color="E3C400" w:sz="10" w:space="4"/>
        </w:pBdr>
        <w:spacing w:after="140" w:before="280"/>
      </w:pPr>
      <w:r>
        <w:rPr>
          <w:rFonts w:ascii="Arial" w:cs="Arial" w:eastAsia="Arial" w:hAnsi="Arial"/>
          <w:b/>
          <w:bCs/>
          <w:color w:val="111111"/>
        </w:rPr>
        <w:t xml:space="preserve">3. Commercial thinking before we manufacture</w:t>
      </w:r>
    </w:p>
    <w:p>
      <w:pPr>
        <w:spacing w:after="140" w:line="300"/>
      </w:pPr>
      <w:r>
        <w:rPr>
          <w:rFonts w:ascii="Arial" w:cs="Arial" w:eastAsia="Arial" w:hAnsi="Arial"/>
        </w:rPr>
        <w:t xml:space="preserve">The goal is not to “build a locker” in isolation. The goal is a business model that makes a property owner choose Solvane over doing nothing, a package room, or established locker vendors.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11111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to answer</w:t>
            </w:r>
          </w:p>
        </w:tc>
        <w:tc>
          <w:tcPr>
            <w:tcW w:type="dxa" w:w="5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11111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Who pays?</w:t>
            </w:r>
          </w:p>
        </w:tc>
        <w:tc>
          <w:tcPr>
            <w:tcW w:type="dxa" w:w="5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Owner/operator, developer, management company, or resident amenity fee each changes the sales motion.</w:t>
            </w:r>
          </w:p>
        </w:tc>
      </w:tr>
      <w:tr>
        <w:tc>
          <w:tcPr>
            <w:tcW w:type="dxa" w:w="3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What is the unit economics?</w:t>
            </w:r>
          </w:p>
        </w:tc>
        <w:tc>
          <w:tcPr>
            <w:tcW w:type="dxa" w:w="5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Hardware cost, install, maintenance, connectivity, support, replacement parts, and recurring software.</w:t>
            </w:r>
          </w:p>
        </w:tc>
      </w:tr>
      <w:tr>
        <w:tc>
          <w:tcPr>
            <w:tcW w:type="dxa" w:w="3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What does the property gain?</w:t>
            </w:r>
          </w:p>
        </w:tc>
        <w:tc>
          <w:tcPr>
            <w:tcW w:type="dxa" w:w="5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Less staff handling, stronger amenity positioning, fewer package complaints, and a better delivery experience.</w:t>
            </w:r>
          </w:p>
        </w:tc>
      </w:tr>
      <w:tr>
        <w:tc>
          <w:tcPr>
            <w:tcW w:type="dxa" w:w="3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What makes us different?</w:t>
            </w:r>
          </w:p>
        </w:tc>
        <w:tc>
          <w:tcPr>
            <w:tcW w:type="dxa" w:w="5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 specific customer segment, modular footprint, better workflow, service level, local install/support, or design language.</w:t>
            </w:r>
          </w:p>
        </w:tc>
      </w:tr>
      <w:tr>
        <w:tc>
          <w:tcPr>
            <w:tcW w:type="dxa" w:w="3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What cannot fail?</w:t>
            </w:r>
          </w:p>
        </w:tc>
        <w:tc>
          <w:tcPr>
            <w:tcW w:type="dxa" w:w="5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Access, retrieval, mechanical override, and audit trail. Design redundancies around these first.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111"/>
        </w:rPr>
        <w:t xml:space="preserve">Early customer questions</w:t>
      </w:r>
    </w:p>
    <w:p>
      <w:pPr>
        <w:pStyle w:val="ListParagraph"/>
        <w:numPr>
          <w:ilvl w:val="0"/>
          <w:numId w:val="3"/>
        </w:numPr>
        <w:spacing w:after="85" w:line="280"/>
      </w:pPr>
      <w:r>
        <w:rPr>
          <w:rFonts w:ascii="Arial" w:cs="Arial" w:eastAsia="Arial" w:hAnsi="Arial"/>
        </w:rPr>
        <w:t xml:space="preserve">How many packages arrive on a typical weekday and at peak season?</w:t>
      </w:r>
    </w:p>
    <w:p>
      <w:pPr>
        <w:pStyle w:val="ListParagraph"/>
        <w:numPr>
          <w:ilvl w:val="0"/>
          <w:numId w:val="3"/>
        </w:numPr>
        <w:spacing w:after="85" w:line="280"/>
      </w:pPr>
      <w:r>
        <w:rPr>
          <w:rFonts w:ascii="Arial" w:cs="Arial" w:eastAsia="Arial" w:hAnsi="Arial"/>
        </w:rPr>
        <w:t xml:space="preserve">Where do packages go today, and who handles problems?</w:t>
      </w:r>
    </w:p>
    <w:p>
      <w:pPr>
        <w:pStyle w:val="ListParagraph"/>
        <w:numPr>
          <w:ilvl w:val="0"/>
          <w:numId w:val="3"/>
        </w:numPr>
        <w:spacing w:after="85" w:line="280"/>
      </w:pPr>
      <w:r>
        <w:rPr>
          <w:rFonts w:ascii="Arial" w:cs="Arial" w:eastAsia="Arial" w:hAnsi="Arial"/>
        </w:rPr>
        <w:t xml:space="preserve">What has this problem cost in staff time, resident complaints, theft, or lost packages?</w:t>
      </w:r>
    </w:p>
    <w:p>
      <w:pPr>
        <w:pStyle w:val="ListParagraph"/>
        <w:numPr>
          <w:ilvl w:val="0"/>
          <w:numId w:val="3"/>
        </w:numPr>
        <w:spacing w:after="85" w:line="280"/>
      </w:pPr>
      <w:r>
        <w:rPr>
          <w:rFonts w:ascii="Arial" w:cs="Arial" w:eastAsia="Arial" w:hAnsi="Arial"/>
        </w:rPr>
        <w:t xml:space="preserve">Which carriers visit, when, and what prevents a smooth handoff?</w:t>
      </w:r>
    </w:p>
    <w:p>
      <w:pPr>
        <w:pStyle w:val="ListParagraph"/>
        <w:numPr>
          <w:ilvl w:val="0"/>
          <w:numId w:val="3"/>
        </w:numPr>
        <w:spacing w:after="85" w:line="280"/>
      </w:pPr>
      <w:r>
        <w:rPr>
          <w:rFonts w:ascii="Arial" w:cs="Arial" w:eastAsia="Arial" w:hAnsi="Arial"/>
        </w:rPr>
        <w:t xml:space="preserve">Would the property host a pilot? What would make the risk acceptable?</w:t>
      </w:r>
    </w:p>
    <w:p>
      <w:pPr>
        <w:pStyle w:val="Heading1"/>
        <w:pBdr>
          <w:bottom w:val="single" w:color="E3C400" w:sz="10" w:space="4"/>
        </w:pBdr>
        <w:spacing w:after="140" w:before="280"/>
      </w:pPr>
      <w:r>
        <w:rPr>
          <w:rFonts w:ascii="Arial" w:cs="Arial" w:eastAsia="Arial" w:hAnsi="Arial"/>
          <w:b/>
          <w:bCs/>
          <w:color w:val="111111"/>
        </w:rPr>
        <w:t xml:space="preserve">4. Content is part of the product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E3C400"/>
        </w:rPr>
        <w:t xml:space="preserve">Creative thesis: </w:t>
      </w:r>
      <w:r>
        <w:rPr>
          <w:rFonts w:ascii="Arial" w:cs="Arial" w:eastAsia="Arial" w:hAnsi="Arial"/>
        </w:rPr>
        <w:t xml:space="preserve">“We are documenting the work it takes to turn a real problem into a real company.”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800"/>
        <w:gridCol w:w="4310"/>
      </w:tblGrid>
      <w:tr>
        <w:tc>
          <w:tcPr>
            <w:tcW w:type="dxa" w:w="225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11111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Series</w:t>
            </w:r>
          </w:p>
        </w:tc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11111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31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11111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5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Build in public</w:t>
            </w:r>
          </w:p>
        </w:tc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Short vertical episodes</w:t>
            </w:r>
          </w:p>
        </w:tc>
        <w:tc>
          <w:tcPr>
            <w:tcW w:type="dxa" w:w="431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Research, sketches, hardware tests, failures, and progress.</w:t>
            </w:r>
          </w:p>
        </w:tc>
      </w:tr>
      <w:tr>
        <w:tc>
          <w:tcPr>
            <w:tcW w:type="dxa" w:w="225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The problem is real</w:t>
            </w:r>
          </w:p>
        </w:tc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Resident/property interviews</w:t>
            </w:r>
          </w:p>
        </w:tc>
        <w:tc>
          <w:tcPr>
            <w:tcW w:type="dxa" w:w="431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Make the customer pain concrete; obtain written/video releases.</w:t>
            </w:r>
          </w:p>
        </w:tc>
      </w:tr>
      <w:tr>
        <w:tc>
          <w:tcPr>
            <w:tcW w:type="dxa" w:w="225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Founder field notes</w:t>
            </w:r>
          </w:p>
        </w:tc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Direct-to-camera updates</w:t>
            </w:r>
          </w:p>
        </w:tc>
        <w:tc>
          <w:tcPr>
            <w:tcW w:type="dxa" w:w="431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Build trust and give the audience a reason to follow the journey.</w:t>
            </w:r>
          </w:p>
        </w:tc>
      </w:tr>
      <w:tr>
        <w:tc>
          <w:tcPr>
            <w:tcW w:type="dxa" w:w="225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Prototype cinema</w:t>
            </w:r>
          </w:p>
        </w:tc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Long-form YouTube mini-docs</w:t>
            </w:r>
          </w:p>
        </w:tc>
        <w:tc>
          <w:tcPr>
            <w:tcW w:type="dxa" w:w="431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Capture major build milestones, design decisions, and pilot day.</w:t>
            </w:r>
          </w:p>
        </w:tc>
      </w:tr>
      <w:tr>
        <w:tc>
          <w:tcPr>
            <w:tcW w:type="dxa" w:w="225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Solvane perspective</w:t>
            </w:r>
          </w:p>
        </w:tc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Carousels / threads</w:t>
            </w:r>
          </w:p>
        </w:tc>
        <w:tc>
          <w:tcPr>
            <w:tcW w:type="dxa" w:w="431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Share useful views on housing, design, delivery, and entrepreneurship.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111"/>
        </w:rPr>
        <w:t xml:space="preserve">Cinematographer search: a fair, serious approach</w:t>
      </w:r>
    </w:p>
    <w:p>
      <w:pPr>
        <w:pStyle w:val="ListParagraph"/>
        <w:numPr>
          <w:ilvl w:val="0"/>
          <w:numId w:val="2"/>
        </w:numPr>
        <w:spacing w:after="75" w:line="280"/>
      </w:pPr>
      <w:r>
        <w:rPr>
          <w:rFonts w:ascii="Arial" w:cs="Arial" w:eastAsia="Arial" w:hAnsi="Arial"/>
        </w:rPr>
        <w:t xml:space="preserve">Write a 1-page creative brief: story, visual references, expected cadence, locations, gear expectations, deliverables, budget/compensation, credit, and ownership/use rights.</w:t>
      </w:r>
    </w:p>
    <w:p>
      <w:pPr>
        <w:pStyle w:val="ListParagraph"/>
        <w:numPr>
          <w:ilvl w:val="0"/>
          <w:numId w:val="2"/>
        </w:numPr>
        <w:spacing w:after="75" w:line="280"/>
      </w:pPr>
      <w:r>
        <w:rPr>
          <w:rFonts w:ascii="Arial" w:cs="Arial" w:eastAsia="Arial" w:hAnsi="Arial"/>
        </w:rPr>
        <w:t xml:space="preserve">Look for emerging directors of photography, film-school talent, and local creators with documentary work—not just glossy reels. Ask for a 30–60 second test concept.</w:t>
      </w:r>
    </w:p>
    <w:p>
      <w:pPr>
        <w:pStyle w:val="ListParagraph"/>
        <w:numPr>
          <w:ilvl w:val="0"/>
          <w:numId w:val="2"/>
        </w:numPr>
        <w:spacing w:after="75" w:line="280"/>
      </w:pPr>
      <w:r>
        <w:rPr>
          <w:rFonts w:ascii="Arial" w:cs="Arial" w:eastAsia="Arial" w:hAnsi="Arial"/>
        </w:rPr>
        <w:t xml:space="preserve">Pay whenever possible. If sponsorship or a limited-revenue collaboration is proposed, put scope, credit, portfolio rights, and exit terms in writing before filming.</w:t>
      </w:r>
    </w:p>
    <w:p>
      <w:pPr>
        <w:pStyle w:val="ListParagraph"/>
        <w:numPr>
          <w:ilvl w:val="0"/>
          <w:numId w:val="2"/>
        </w:numPr>
        <w:spacing w:after="75" w:line="280"/>
      </w:pPr>
      <w:r>
        <w:rPr>
          <w:rFonts w:ascii="Arial" w:cs="Arial" w:eastAsia="Arial" w:hAnsi="Arial"/>
        </w:rPr>
        <w:t xml:space="preserve">Use consent forms for team members, residents, and properties. Never film deliveries, addresses, or private information without permission.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111"/>
        </w:rPr>
        <w:t xml:space="preserve">Minimum viable production kit</w:t>
      </w:r>
    </w:p>
    <w:p>
      <w:pPr>
        <w:spacing w:after="140" w:line="300"/>
      </w:pPr>
      <w:r>
        <w:rPr>
          <w:rFonts w:ascii="Arial" w:cs="Arial" w:eastAsia="Arial" w:hAnsi="Arial"/>
        </w:rPr>
        <w:t xml:space="preserve">One camera/phone with strong stabilization, two lavalier mics, a small LED, tripod, storage cards, and a simple folder/naming standard can produce the first month of content. Story and consistency matter more than waiting for a full studio.</w:t>
      </w:r>
    </w:p>
    <w:p>
      <w:pPr>
        <w:pStyle w:val="Heading1"/>
        <w:pBdr>
          <w:bottom w:val="single" w:color="E3C400" w:sz="10" w:space="4"/>
        </w:pBdr>
        <w:spacing w:after="140" w:before="280"/>
      </w:pPr>
      <w:r>
        <w:rPr>
          <w:rFonts w:ascii="Arial" w:cs="Arial" w:eastAsia="Arial" w:hAnsi="Arial"/>
          <w:b/>
          <w:bCs/>
          <w:color w:val="111111"/>
        </w:rPr>
        <w:t xml:space="preserve">5. Tomorrow: social platform and visual launch sprint</w:t>
      </w:r>
    </w:p>
    <w:p>
      <w:pPr>
        <w:spacing w:after="140" w:line="300"/>
      </w:pPr>
      <w:r>
        <w:rPr>
          <w:rFonts w:ascii="Arial" w:cs="Arial" w:eastAsia="Arial" w:hAnsi="Arial"/>
        </w:rPr>
        <w:t xml:space="preserve">Aim for account readiness and a small, consistent launch kit—not dozens of polished posts.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3860"/>
      </w:tblGrid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11111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11111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 up tomorrow</w:t>
            </w:r>
          </w:p>
        </w:tc>
        <w:tc>
          <w:tcPr>
            <w:tcW w:type="dxa" w:w="3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11111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content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Facebook</w:t>
            </w:r>
          </w:p>
        </w:tc>
        <w:tc>
          <w:tcPr>
            <w:tcW w:type="dxa" w:w="3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Business Page, username, short about statement, logo profile, banner, team access.</w:t>
            </w:r>
          </w:p>
        </w:tc>
        <w:tc>
          <w:tcPr>
            <w:tcW w:type="dxa" w:w="3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“What Solvane Hub is building” intro + call for property/pilot conversations.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X / Twitter</w:t>
            </w:r>
          </w:p>
        </w:tc>
        <w:tc>
          <w:tcPr>
            <w:tcW w:type="dxa" w:w="3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Handle, concise bio, logo, banner, link hub, pinned post.</w:t>
            </w:r>
          </w:p>
        </w:tc>
        <w:tc>
          <w:tcPr>
            <w:tcW w:type="dxa" w:w="3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Founder thread: the package problem, our hypothesis, and request for interviews.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YouTube</w:t>
            </w:r>
          </w:p>
        </w:tc>
        <w:tc>
          <w:tcPr>
            <w:tcW w:type="dxa" w:w="3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Channel name/handle, logo, banner, About, upload defaults, team permissions.</w:t>
            </w:r>
          </w:p>
        </w:tc>
        <w:tc>
          <w:tcPr>
            <w:tcW w:type="dxa" w:w="3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60–120 sec origin film or prototype diary #1; cut short clips from it.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111"/>
        </w:rPr>
        <w:t xml:space="preserve">Visual system to finalize</w:t>
      </w:r>
    </w:p>
    <w:p>
      <w:pPr>
        <w:pStyle w:val="ListParagraph"/>
        <w:numPr>
          <w:ilvl w:val="0"/>
          <w:numId w:val="2"/>
        </w:numPr>
        <w:spacing w:after="75" w:line="280"/>
      </w:pPr>
      <w:r>
        <w:rPr>
          <w:rFonts w:ascii="Arial" w:cs="Arial" w:eastAsia="Arial" w:hAnsi="Arial"/>
        </w:rPr>
        <w:t xml:space="preserve">Core marks: Solvane Hub logo, icon-only crop, clear-space rules, dark/light versions.</w:t>
      </w:r>
    </w:p>
    <w:p>
      <w:pPr>
        <w:pStyle w:val="ListParagraph"/>
        <w:numPr>
          <w:ilvl w:val="0"/>
          <w:numId w:val="2"/>
        </w:numPr>
        <w:spacing w:after="75" w:line="280"/>
      </w:pPr>
      <w:r>
        <w:rPr>
          <w:rFonts w:ascii="Arial" w:cs="Arial" w:eastAsia="Arial" w:hAnsi="Arial"/>
        </w:rPr>
        <w:t xml:space="preserve">Working palette: Solvane gold (#E3C400), black (#111111), charcoal (#2A2A2A), warm off-white (#F5F4F0).</w:t>
      </w:r>
    </w:p>
    <w:p>
      <w:pPr>
        <w:pStyle w:val="ListParagraph"/>
        <w:numPr>
          <w:ilvl w:val="0"/>
          <w:numId w:val="2"/>
        </w:numPr>
        <w:spacing w:after="75" w:line="280"/>
      </w:pPr>
      <w:r>
        <w:rPr>
          <w:rFonts w:ascii="Arial" w:cs="Arial" w:eastAsia="Arial" w:hAnsi="Arial"/>
        </w:rPr>
        <w:t xml:space="preserve">Voice: ambitious, direct, intelligent, useful. Avoid empty “future of…” language; show the work and name the problem.</w:t>
      </w:r>
    </w:p>
    <w:p>
      <w:pPr>
        <w:pStyle w:val="ListParagraph"/>
        <w:numPr>
          <w:ilvl w:val="0"/>
          <w:numId w:val="2"/>
        </w:numPr>
        <w:spacing w:after="75" w:line="280"/>
      </w:pPr>
      <w:r>
        <w:rPr>
          <w:rFonts w:ascii="Arial" w:cs="Arial" w:eastAsia="Arial" w:hAnsi="Arial"/>
        </w:rPr>
        <w:t xml:space="preserve">Templates: one announcement post, one progress update, one quote/insight card, one video thumbnail system.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111"/>
        </w:rPr>
        <w:t xml:space="preserve">Suggested bios</w:t>
      </w:r>
    </w:p>
    <w:p>
      <w:pPr>
        <w:spacing w:after="140" w:line="300"/>
      </w:pPr>
      <w:r>
        <w:rPr>
          <w:rFonts w:ascii="Arial" w:cs="Arial" w:eastAsia="Arial" w:hAnsi="Arial"/>
          <w:b/>
          <w:bCs/>
        </w:rPr>
        <w:t xml:space="preserve">Short bio: </w:t>
      </w:r>
      <w:r>
        <w:rPr>
          <w:rFonts w:ascii="Arial" w:cs="Arial" w:eastAsia="Arial" w:hAnsi="Arial"/>
        </w:rPr>
        <w:t xml:space="preserve">Solvane Hub builds practical design + technology for better everyday systems. Building in public.</w:t>
      </w:r>
    </w:p>
    <w:p>
      <w:pPr>
        <w:spacing w:after="140" w:line="300"/>
      </w:pPr>
      <w:r>
        <w:rPr>
          <w:rFonts w:ascii="Arial" w:cs="Arial" w:eastAsia="Arial" w:hAnsi="Arial"/>
          <w:b/>
          <w:bCs/>
        </w:rPr>
        <w:t xml:space="preserve">YouTube About: </w:t>
      </w:r>
      <w:r>
        <w:rPr>
          <w:rFonts w:ascii="Arial" w:cs="Arial" w:eastAsia="Arial" w:hAnsi="Arial"/>
        </w:rPr>
        <w:t xml:space="preserve">Solvane Hub is a design, strategy, and technology studio documenting the journey from real-world problems to working products. Our first exploration: a smarter package experience for apartment communities.</w:t>
      </w:r>
    </w:p>
    <w:p>
      <w:pPr>
        <w:pStyle w:val="Heading1"/>
        <w:pBdr>
          <w:bottom w:val="single" w:color="E3C400" w:sz="10" w:space="4"/>
        </w:pBdr>
        <w:spacing w:after="140" w:before="280"/>
      </w:pPr>
      <w:r>
        <w:rPr>
          <w:rFonts w:ascii="Arial" w:cs="Arial" w:eastAsia="Arial" w:hAnsi="Arial"/>
          <w:b/>
          <w:bCs/>
          <w:color w:val="111111"/>
        </w:rPr>
        <w:t xml:space="preserve">6. El Salvador: opportunity, facts, and diligence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E3C400"/>
        </w:rPr>
        <w:t xml:space="preserve">Bottom line: </w:t>
      </w:r>
      <w:r>
        <w:rPr>
          <w:rFonts w:ascii="Arial" w:cs="Arial" w:eastAsia="Arial" w:hAnsi="Arial"/>
        </w:rPr>
        <w:t xml:space="preserve">El Salvador is worth exploring for a technology-focused operation, but it should be treated as a structured diligence project—not a decision based on “free market” headlines, a citizenship route, or unverified AI-chip claims.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111"/>
        </w:rPr>
        <w:t xml:space="preserve">What appears verified from official sources</w:t>
      </w:r>
    </w:p>
    <w:p>
      <w:pPr>
        <w:pStyle w:val="ListParagraph"/>
        <w:numPr>
          <w:ilvl w:val="0"/>
          <w:numId w:val="2"/>
        </w:numPr>
        <w:spacing w:after="75" w:line="280"/>
      </w:pPr>
      <w:r>
        <w:rPr>
          <w:rFonts w:ascii="Arial" w:cs="Arial" w:eastAsia="Arial" w:hAnsi="Arial"/>
        </w:rPr>
        <w:t xml:space="preserve">The Government’s investment-promotion agency, INVEST El Salvador, offers investor guidance and current 2026 resources; it positions technology and international services as strategic areas.</w:t>
      </w:r>
    </w:p>
    <w:p>
      <w:pPr>
        <w:pStyle w:val="ListParagraph"/>
        <w:numPr>
          <w:ilvl w:val="0"/>
          <w:numId w:val="2"/>
        </w:numPr>
        <w:spacing w:after="75" w:line="280"/>
      </w:pPr>
      <w:r>
        <w:rPr>
          <w:rFonts w:ascii="Arial" w:cs="Arial" w:eastAsia="Arial" w:hAnsi="Arial"/>
        </w:rPr>
        <w:t xml:space="preserve">The official Adopting El Salvador Freedom Visa materials describe an invitation for up to 1,000 participants annually, tied to a $1 million contribution in Bitcoin or USDT, with residency/citizenship benefits subject to its process and screening. This is not a startup incentive and should not be treated as a normal company-formation path.</w:t>
      </w:r>
    </w:p>
    <w:p>
      <w:pPr>
        <w:pStyle w:val="ListParagraph"/>
        <w:numPr>
          <w:ilvl w:val="0"/>
          <w:numId w:val="2"/>
        </w:numPr>
        <w:spacing w:after="75" w:line="280"/>
      </w:pPr>
      <w:r>
        <w:rPr>
          <w:rFonts w:ascii="Arial" w:cs="Arial" w:eastAsia="Arial" w:hAnsi="Arial"/>
        </w:rPr>
        <w:t xml:space="preserve">Official investment materials also describe potential incentives for eligible international/digital-service activities. Eligibility, conditions, tax treatment, and duration must be confirmed against current law and a written opinion from local counsel.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111"/>
        </w:rPr>
        <w:t xml:space="preserve">Important correction before the team repeats it publicly</w:t>
      </w:r>
    </w:p>
    <w:p>
      <w:pPr>
        <w:spacing w:after="140" w:line="300"/>
      </w:pPr>
      <w:r>
        <w:rPr>
          <w:rFonts w:ascii="Arial" w:cs="Arial" w:eastAsia="Arial" w:hAnsi="Arial"/>
          <w:b/>
          <w:bCs/>
        </w:rPr>
        <w:t xml:space="preserve">Do not state that El Salvador bought “the first 300 NVIDIA H200 chips” unless we obtain a primary source. </w:t>
      </w:r>
      <w:r>
        <w:rPr>
          <w:rFonts w:ascii="Arial" w:cs="Arial" w:eastAsia="Arial" w:hAnsi="Arial"/>
        </w:rPr>
        <w:t xml:space="preserve">Public reporting in 2025 referred to a prospective order for NVIDIA B300 processors for a national AI initiative—different product, and the number/transaction status requires verification. Treat this as an interesting signal, not as a factual brand claim or investment thesis.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111"/>
        </w:rPr>
        <w:t xml:space="preserve">Diligence checklist before any incorporation or relocation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710"/>
      </w:tblGrid>
      <w:tr>
        <w:tc>
          <w:tcPr>
            <w:tcW w:type="dxa" w:w="265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11111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671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11111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 to answer</w:t>
            </w:r>
          </w:p>
        </w:tc>
      </w:tr>
      <w:tr>
        <w:tc>
          <w:tcPr>
            <w:tcW w:type="dxa" w:w="265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Corporate &amp; tax</w:t>
            </w:r>
          </w:p>
        </w:tc>
        <w:tc>
          <w:tcPr>
            <w:tcW w:type="dxa" w:w="671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Best entity and ownership structure? Tax residence? Incentive eligibility? VAT, payroll, withholding, and export-service treatment?</w:t>
            </w:r>
          </w:p>
        </w:tc>
      </w:tr>
      <w:tr>
        <w:tc>
          <w:tcPr>
            <w:tcW w:type="dxa" w:w="265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Immigration</w:t>
            </w:r>
          </w:p>
        </w:tc>
        <w:tc>
          <w:tcPr>
            <w:tcW w:type="dxa" w:w="671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Which route fits founders/employees? What is the Freedom Visa actually for, what are its costs and timeframes, and what has changed under 2026 migration reforms?</w:t>
            </w:r>
          </w:p>
        </w:tc>
      </w:tr>
      <w:tr>
        <w:tc>
          <w:tcPr>
            <w:tcW w:type="dxa" w:w="265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Hardware import &amp; compliance</w:t>
            </w:r>
          </w:p>
        </w:tc>
        <w:tc>
          <w:tcPr>
            <w:tcW w:type="dxa" w:w="671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Duties, customs, certification, electrical safety, radio/Wi-Fi approvals, warranty/support obligations, and spare-parts logistics?</w:t>
            </w:r>
          </w:p>
        </w:tc>
      </w:tr>
      <w:tr>
        <w:tc>
          <w:tcPr>
            <w:tcW w:type="dxa" w:w="265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 &amp; contracts</w:t>
            </w:r>
          </w:p>
        </w:tc>
        <w:tc>
          <w:tcPr>
            <w:tcW w:type="dxa" w:w="671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Resident data, cloud hosting, consent, property agreements, IP ownership, carrier terms, and dispute forum?</w:t>
            </w:r>
          </w:p>
        </w:tc>
      </w:tr>
      <w:tr>
        <w:tc>
          <w:tcPr>
            <w:tcW w:type="dxa" w:w="265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Operations</w:t>
            </w:r>
          </w:p>
        </w:tc>
        <w:tc>
          <w:tcPr>
            <w:tcW w:type="dxa" w:w="671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Local engineering/installation talent, supplier lead times, connectivity, security, customer support, and pilot property access?</w:t>
            </w:r>
          </w:p>
        </w:tc>
      </w:tr>
      <w:tr>
        <w:tc>
          <w:tcPr>
            <w:tcW w:type="dxa" w:w="265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Risk review</w:t>
            </w:r>
          </w:p>
        </w:tc>
        <w:tc>
          <w:tcPr>
            <w:tcW w:type="dxa" w:w="671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Political/regulatory change, currency/finance requirements, banking/payment rails, reputational concerns, and plan B jurisdiction?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111"/>
        </w:rPr>
        <w:t xml:space="preserve">Recommended next move</w:t>
      </w:r>
    </w:p>
    <w:p>
      <w:pPr>
        <w:spacing w:after="140" w:line="300"/>
      </w:pPr>
      <w:r>
        <w:rPr>
          <w:rFonts w:ascii="Arial" w:cs="Arial" w:eastAsia="Arial" w:hAnsi="Arial"/>
        </w:rPr>
        <w:t xml:space="preserve">Book an introductory conversation with INVEST El Salvador and independently retain a Salvadoran corporate/immigration lawyer before making public claims, moving money, signing leases, or promising any immigration outcome. Compare the result with one U.S.-based pilot path so the location decision remains evidence-led.</w:t>
      </w:r>
    </w:p>
    <w:p>
      <w:pPr>
        <w:pStyle w:val="Heading1"/>
        <w:pBdr>
          <w:bottom w:val="single" w:color="E3C400" w:sz="10" w:space="4"/>
        </w:pBdr>
        <w:spacing w:after="140" w:before="280"/>
      </w:pPr>
      <w:r>
        <w:rPr>
          <w:rFonts w:ascii="Arial" w:cs="Arial" w:eastAsia="Arial" w:hAnsi="Arial"/>
          <w:b/>
          <w:bCs/>
          <w:color w:val="111111"/>
        </w:rPr>
        <w:t xml:space="preserve">7. Decisions, owners, and next seven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600"/>
        <w:gridCol w:w="2160"/>
      </w:tblGrid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11111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 when</w:t>
            </w:r>
          </w:p>
        </w:tc>
        <w:tc>
          <w:tcPr>
            <w:tcW w:type="dxa" w:w="5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11111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11111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owner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Today / call close</w:t>
            </w:r>
          </w:p>
        </w:tc>
        <w:tc>
          <w:tcPr>
            <w:tcW w:type="dxa" w:w="5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Choose the pilot customer segment and name the single problem statement.</w:t>
            </w:r>
          </w:p>
        </w:tc>
        <w:tc>
          <w:tcPr>
            <w:tcW w:type="dxa" w:w="2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Founders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Tomorrow</w:t>
            </w:r>
          </w:p>
        </w:tc>
        <w:tc>
          <w:tcPr>
            <w:tcW w:type="dxa" w:w="5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Reserve social handles and launch the basic platform visuals/bios.</w:t>
            </w:r>
          </w:p>
        </w:tc>
        <w:tc>
          <w:tcPr>
            <w:tcW w:type="dxa" w:w="2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Brand lead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48 hours</w:t>
            </w:r>
          </w:p>
        </w:tc>
        <w:tc>
          <w:tcPr>
            <w:tcW w:type="dxa" w:w="5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List 15 apartment/property contacts and schedule the first five discovery interviews.</w:t>
            </w:r>
          </w:p>
        </w:tc>
        <w:tc>
          <w:tcPr>
            <w:tcW w:type="dxa" w:w="2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Business development lead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This week</w:t>
            </w:r>
          </w:p>
        </w:tc>
        <w:tc>
          <w:tcPr>
            <w:tcW w:type="dxa" w:w="5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Create physical MVP sketch, component estimate, and software click-through.</w:t>
            </w:r>
          </w:p>
        </w:tc>
        <w:tc>
          <w:tcPr>
            <w:tcW w:type="dxa" w:w="2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Product / hardware lead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This week</w:t>
            </w:r>
          </w:p>
        </w:tc>
        <w:tc>
          <w:tcPr>
            <w:tcW w:type="dxa" w:w="5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Write the cinematographer brief and send it to 10 targeted candidates/communities.</w:t>
            </w:r>
          </w:p>
        </w:tc>
        <w:tc>
          <w:tcPr>
            <w:tcW w:type="dxa" w:w="2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Content lead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This week</w:t>
            </w:r>
          </w:p>
        </w:tc>
        <w:tc>
          <w:tcPr>
            <w:tcW w:type="dxa" w:w="5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Send diligence questions to INVEST El Salvador and identify independent local legal counsel.</w:t>
            </w:r>
          </w:p>
        </w:tc>
        <w:tc>
          <w:tcPr>
            <w:tcW w:type="dxa" w:w="2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Strategy lead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Next meeting</w:t>
            </w:r>
          </w:p>
        </w:tc>
        <w:tc>
          <w:tcPr>
            <w:tcW w:type="dxa" w:w="5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Review interviews, decision log, prototype scope, content test, and El Salvador findings.</w:t>
            </w:r>
          </w:p>
        </w:tc>
        <w:tc>
          <w:tcPr>
            <w:tcW w:type="dxa" w:w="2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Whole team</w:t>
            </w:r>
          </w:p>
        </w:tc>
      </w:tr>
    </w:tbl>
    <w:p>
      <w:pPr>
        <w:pStyle w:val="Heading1"/>
        <w:pBdr>
          <w:bottom w:val="single" w:color="E3C400" w:sz="10" w:space="4"/>
        </w:pBdr>
        <w:spacing w:after="140" w:before="280"/>
      </w:pPr>
      <w:r>
        <w:rPr>
          <w:rFonts w:ascii="Arial" w:cs="Arial" w:eastAsia="Arial" w:hAnsi="Arial"/>
          <w:b/>
          <w:bCs/>
          <w:color w:val="111111"/>
        </w:rPr>
        <w:t xml:space="preserve">Meeting close: the three questions</w:t>
      </w:r>
    </w:p>
    <w:p>
      <w:pPr>
        <w:pStyle w:val="ListParagraph"/>
        <w:numPr>
          <w:ilvl w:val="0"/>
          <w:numId w:val="3"/>
        </w:numPr>
        <w:spacing w:after="85" w:line="280"/>
      </w:pPr>
      <w:r>
        <w:rPr>
          <w:rFonts w:ascii="Arial" w:cs="Arial" w:eastAsia="Arial" w:hAnsi="Arial"/>
        </w:rPr>
        <w:t xml:space="preserve">What are we building first—and what are we explicitly not building yet?</w:t>
      </w:r>
    </w:p>
    <w:p>
      <w:pPr>
        <w:pStyle w:val="ListParagraph"/>
        <w:numPr>
          <w:ilvl w:val="0"/>
          <w:numId w:val="3"/>
        </w:numPr>
        <w:spacing w:after="85" w:line="280"/>
      </w:pPr>
      <w:r>
        <w:rPr>
          <w:rFonts w:ascii="Arial" w:cs="Arial" w:eastAsia="Arial" w:hAnsi="Arial"/>
        </w:rPr>
        <w:t xml:space="preserve">Who will say yes to a pilot, and what proof do they need from us?</w:t>
      </w:r>
    </w:p>
    <w:p>
      <w:pPr>
        <w:pStyle w:val="ListParagraph"/>
        <w:numPr>
          <w:ilvl w:val="0"/>
          <w:numId w:val="3"/>
        </w:numPr>
        <w:spacing w:after="85" w:line="280"/>
      </w:pPr>
      <w:r>
        <w:rPr>
          <w:rFonts w:ascii="Arial" w:cs="Arial" w:eastAsia="Arial" w:hAnsi="Arial"/>
        </w:rPr>
        <w:t xml:space="preserve">What story do we want the first 90 days of Solvane to tell?</w:t>
      </w:r>
    </w:p>
    <w:p>
      <w:pPr>
        <w:pStyle w:val="Heading1"/>
        <w:pBdr>
          <w:bottom w:val="single" w:color="E3C400" w:sz="10" w:space="4"/>
        </w:pBdr>
        <w:spacing w:after="140" w:before="280"/>
      </w:pPr>
      <w:r>
        <w:rPr>
          <w:rFonts w:ascii="Arial" w:cs="Arial" w:eastAsia="Arial" w:hAnsi="Arial"/>
          <w:b/>
          <w:bCs/>
          <w:color w:val="111111"/>
        </w:rPr>
        <w:t xml:space="preserve">Research sources &amp; verification notes</w:t>
      </w:r>
    </w:p>
    <w:p>
      <w:pPr>
        <w:spacing w:after="140" w:line="300"/>
      </w:pPr>
      <w:r>
        <w:rPr>
          <w:rFonts w:ascii="Arial" w:cs="Arial" w:eastAsia="Arial" w:hAnsi="Arial"/>
          <w:color w:val="666666"/>
        </w:rPr>
        <w:t xml:space="preserve">Sources below were reviewed on August 8, 2026. Policies and incentives can change; this brief is strategic planning material, not legal, tax, immigration, or investment advice.</w:t>
      </w:r>
    </w:p>
    <w:p>
      <w:pPr>
        <w:spacing w:after="70" w:line="260"/>
      </w:pPr>
      <w:r>
        <w:rPr>
          <w:rFonts w:ascii="Arial" w:cs="Arial" w:eastAsia="Arial" w:hAnsi="Arial"/>
          <w:b/>
          <w:bCs/>
          <w:color w:val="111111"/>
        </w:rPr>
        <w:t xml:space="preserve">INVEST El Salvador — official investment agency: </w:t>
      </w:r>
      <w:r>
        <w:rPr>
          <w:rFonts w:ascii="Arial" w:cs="Arial" w:eastAsia="Arial" w:hAnsi="Arial"/>
          <w:color w:val="0563C1"/>
          <w:u w:val="single"/>
        </w:rPr>
        <w:t xml:space="preserve">https://www.invest.gob.sv/en</w:t>
      </w:r>
      <w:r>
        <w:rPr>
          <w:rFonts w:ascii="Arial" w:cs="Arial" w:eastAsia="Arial" w:hAnsi="Arial"/>
          <w:color w:val="666666"/>
        </w:rPr>
        <w:t xml:space="preserve"> — Official investor guidance, sectors, and current resources.</w:t>
      </w:r>
    </w:p>
    <w:p>
      <w:pPr>
        <w:spacing w:after="70" w:line="260"/>
      </w:pPr>
      <w:r>
        <w:rPr>
          <w:rFonts w:ascii="Arial" w:cs="Arial" w:eastAsia="Arial" w:hAnsi="Arial"/>
          <w:b/>
          <w:bCs/>
          <w:color w:val="111111"/>
        </w:rPr>
        <w:t xml:space="preserve">INVEST El Salvador — Freedom Visa coverage: </w:t>
      </w:r>
      <w:r>
        <w:rPr>
          <w:rFonts w:ascii="Arial" w:cs="Arial" w:eastAsia="Arial" w:hAnsi="Arial"/>
          <w:color w:val="0563C1"/>
          <w:u w:val="single"/>
        </w:rPr>
        <w:t xml:space="preserve">https://investinelsalvador.gob.sv/el-salvador-busca-atraer-inversion-por-unos-mil-millones-en-bitcoin-con-programa-de-visas/</w:t>
      </w:r>
      <w:r>
        <w:rPr>
          <w:rFonts w:ascii="Arial" w:cs="Arial" w:eastAsia="Arial" w:hAnsi="Arial"/>
          <w:color w:val="666666"/>
        </w:rPr>
        <w:t xml:space="preserve"> — Officially hosted December 2023 description of the 1,000-participant / $1M BTC or USDT program.</w:t>
      </w:r>
    </w:p>
    <w:p>
      <w:pPr>
        <w:spacing w:after="70" w:line="260"/>
      </w:pPr>
      <w:r>
        <w:rPr>
          <w:rFonts w:ascii="Arial" w:cs="Arial" w:eastAsia="Arial" w:hAnsi="Arial"/>
          <w:b/>
          <w:bCs/>
          <w:color w:val="111111"/>
        </w:rPr>
        <w:t xml:space="preserve">Adopting El Salvador — programme terms: </w:t>
      </w:r>
      <w:r>
        <w:rPr>
          <w:rFonts w:ascii="Arial" w:cs="Arial" w:eastAsia="Arial" w:hAnsi="Arial"/>
          <w:color w:val="0563C1"/>
          <w:u w:val="single"/>
        </w:rPr>
        <w:t xml:space="preserve">https://world.adoptingelsalvador.gob.sv/terms</w:t>
      </w:r>
      <w:r>
        <w:rPr>
          <w:rFonts w:ascii="Arial" w:cs="Arial" w:eastAsia="Arial" w:hAnsi="Arial"/>
          <w:color w:val="666666"/>
        </w:rPr>
        <w:t xml:space="preserve"> — Official terms identifying the Freedom Citizenship &amp; Passport programme and applicant screening.</w:t>
      </w:r>
    </w:p>
    <w:p>
      <w:pPr>
        <w:spacing w:after="70" w:line="260"/>
      </w:pPr>
      <w:r>
        <w:rPr>
          <w:rFonts w:ascii="Arial" w:cs="Arial" w:eastAsia="Arial" w:hAnsi="Arial"/>
          <w:b/>
          <w:bCs/>
          <w:color w:val="111111"/>
        </w:rPr>
        <w:t xml:space="preserve">Legislative Assembly — migration reforms: </w:t>
      </w:r>
      <w:r>
        <w:rPr>
          <w:rFonts w:ascii="Arial" w:cs="Arial" w:eastAsia="Arial" w:hAnsi="Arial"/>
          <w:color w:val="0563C1"/>
          <w:u w:val="single"/>
        </w:rPr>
        <w:t xml:space="preserve">https://www.asamblea.gob.sv/node/13888</w:t>
      </w:r>
      <w:r>
        <w:rPr>
          <w:rFonts w:ascii="Arial" w:cs="Arial" w:eastAsia="Arial" w:hAnsi="Arial"/>
          <w:color w:val="666666"/>
        </w:rPr>
        <w:t xml:space="preserve"> — March 2026 announcement regarding reforms affecting foreign investors and family reunification; counsel should confirm current implementing rules.</w:t>
      </w:r>
    </w:p>
    <w:p>
      <w:pPr>
        <w:spacing w:after="70" w:line="260"/>
      </w:pPr>
      <w:r>
        <w:rPr>
          <w:rFonts w:ascii="Arial" w:cs="Arial" w:eastAsia="Arial" w:hAnsi="Arial"/>
          <w:b/>
          <w:bCs/>
          <w:color w:val="111111"/>
        </w:rPr>
        <w:t xml:space="preserve">El Salvador.com — NVIDIA B300 report: </w:t>
      </w:r>
      <w:r>
        <w:rPr>
          <w:rFonts w:ascii="Arial" w:cs="Arial" w:eastAsia="Arial" w:hAnsi="Arial"/>
          <w:color w:val="0563C1"/>
          <w:u w:val="single"/>
        </w:rPr>
        <w:t xml:space="preserve">https://www.elsalvador.com/noticias/nacional/nayib-bukele-inteligencia-artificial/1251204/2025/</w:t>
      </w:r>
      <w:r>
        <w:rPr>
          <w:rFonts w:ascii="Arial" w:cs="Arial" w:eastAsia="Arial" w:hAnsi="Arial"/>
          <w:color w:val="666666"/>
        </w:rPr>
        <w:t xml:space="preserve"> — Non-government public reporting used only to flag the H200/B300 discrepancy; obtain primary confirmation before making any claim.</w:t>
      </w:r>
    </w:p>
    <w:p>
      <w:pPr>
        <w:pBdr>
          <w:top w:val="single" w:color="E3C400" w:sz="14"/>
        </w:pBdr>
        <w:spacing w:after="0" w:before="230"/>
      </w:pPr>
      <w:r>
        <w:rPr>
          <w:rFonts w:ascii="Arial" w:cs="Arial" w:eastAsia="Arial" w:hAnsi="Arial"/>
        </w:rPr>
        <w:t xml:space="preserve"/>
      </w:r>
    </w:p>
    <w:p>
      <w:pPr>
        <w:spacing w:after="0" w:before="110"/>
        <w:jc w:val="center"/>
      </w:pPr>
      <w:r>
        <w:rPr>
          <w:rFonts w:ascii="Arial" w:cs="Arial" w:eastAsia="Arial" w:hAnsi="Arial"/>
          <w:b/>
          <w:bCs/>
          <w:color w:val="E3C400"/>
          <w:sz w:val="18"/>
          <w:szCs w:val="18"/>
        </w:rPr>
        <w:t xml:space="preserve">SOLVANE HUB  |  DESIGN. STRATEGY. TECHNOLOGY.</w:t>
      </w:r>
    </w:p>
    <w:sectPr>
      <w:headerReference w:type="default" r:id="rId7"/>
      <w:footerReference w:type="default" r:id="rId8"/>
      <w:pgSz w:w="12240" w:h="15840" w:orient="portrait"/>
      <w:pgMar w:top="96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/>
      <w:jc w:val="right"/>
    </w:pPr>
    <w:r>
      <w:rPr>
        <w:rFonts w:ascii="Arial" w:cs="Arial" w:eastAsia="Arial" w:hAnsi="Arial"/>
      </w:rPr>
      <w:t xml:space="preserve">Solvane Hub  |  Founders Working Session  |  </w:t>
    </w:r>
    <w:r>
      <w:rPr>
        <w:rFonts w:ascii="Arial" w:cs="Arial" w:eastAsia="Arial" w:hAnsi="Arial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C400" w:sz="6"/>
      </w:pBdr>
      <w:spacing w:after="80"/>
    </w:pPr>
    <w:r>
      <w:drawing>
        <wp:inline distT="0" distB="0" distL="0" distR="0">
          <wp:extent cx="762000" cy="762000"/>
          <wp:effectExtent t="0" r="0" b="0" l="0"/>
          <wp:docPr id="1" name="Solvane Hub logo" descr="Solvane Hub logo" title="Solvane Hub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b/>
        <w:bCs/>
        <w:color w:val="111111"/>
        <w:sz w:val="20"/>
        <w:szCs w:val="20"/>
      </w:rPr>
      <w:t xml:space="preserve">  SOLVANE HUB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1"/>
        <w:szCs w:val="21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1111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A2A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e1568460fde3d78f500f3dd63bdb974499ac58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e1568460fde3d78f500f3dd63bdb974499ac58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Solvane Hub — Founders Working Session</dc:title>
  <dc:creator>Solvane Hub</dc:creator>
  <dc:description>Smart package systems, content, brand launch, and El Salvador research.</dc:description>
  <cp:lastModifiedBy>Un-named</cp:lastModifiedBy>
  <cp:revision>1</cp:revision>
  <dcterms:created xsi:type="dcterms:W3CDTF">2026-08-08T23:18:27.791Z</dcterms:created>
  <dcterms:modified xsi:type="dcterms:W3CDTF">2026-08-08T23:18:27.792Z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