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737999" cy="737999"/>
                    </a:xfrm>
                    <a:prstGeom prst="rect"/>
                  </pic:spPr>
                </pic:pic>
              </a:graphicData>
            </a:graphic>
          </wp:inline>
        </w:drawing>
      </w:r>
    </w:p>
    <w:p>
      <w:pPr>
        <w:spacing w:after="60" w:line="300" w:lineRule="auto"/>
        <w:jc w:val="center"/>
        <w:bidi w:val="1"/>
      </w:pPr>
      <w:r>
        <w:rPr>
          <w:b/>
          <w:color w:val="203D4F"/>
          <w:sz w:val="40"/>
          <w:rtl w:val="1"/>
          <w:rFonts w:ascii="Arial" w:hAnsi="Arial" w:cs="Arial"/>
        </w:rPr>
        <w:t>مركز SENSE لتطوير المنظومات المحلية</w:t>
      </w:r>
    </w:p>
    <w:p>
      <w:pPr>
        <w:spacing w:after="240" w:line="300" w:lineRule="auto"/>
        <w:jc w:val="center"/>
        <w:bidi w:val="1"/>
      </w:pPr>
      <w:r>
        <w:rPr>
          <w:b/>
          <w:color w:val="714F14"/>
          <w:sz w:val="25"/>
          <w:rtl w:val="1"/>
          <w:rFonts w:ascii="Arial" w:hAnsi="Arial" w:cs="Arial"/>
        </w:rPr>
        <w:t>الرسالة والمهمة والخلاصة التنفيذية</w:t>
      </w:r>
    </w:p>
    <w:tbl>
      <w:tblPr>
        <w:tblW w:type="auto" w:w="0"/>
        <w:jc w:val="center"/>
        <w:tblLook w:firstColumn="1" w:firstRow="1" w:lastColumn="0" w:lastRow="0" w:noHBand="0" w:noVBand="1" w:val="04A0"/>
      </w:tblPr>
      <w:tblGrid>
        <w:gridCol w:w="9972"/>
      </w:tblGrid>
      <w:tr>
        <w:tc>
          <w:tcPr>
            <w:tcW w:type="dxa" w:w="9972"/>
            <w:shd w:fill="EDF3F5"/>
            <w:vAlign w:val="center"/>
          </w:tcPr>
          <w:p>
            <w:pPr>
              <w:spacing w:after="40" w:line="269" w:lineRule="auto"/>
              <w:jc w:val="right"/>
              <w:bidi w:val="1"/>
            </w:pPr>
            <w:r>
              <w:rPr>
                <w:rtl w:val="1"/>
                <w:rFonts w:ascii="Arial" w:hAnsi="Arial" w:cs="Arial"/>
              </w:rPr>
            </w:r>
            <w:r>
              <w:rPr>
                <w:b/>
                <w:color w:val="203D4F"/>
                <w:sz w:val="21"/>
                <w:rtl w:val="1"/>
                <w:rFonts w:ascii="Arial" w:hAnsi="Arial" w:cs="Arial"/>
              </w:rPr>
              <w:t>وثيقة رسمية للفريق والشركاء المحتملين — تستند إلى مراجعة المستودع المركزي وحالة التنفيذ في 25 أغسطس 2026.</w:t>
            </w:r>
          </w:p>
        </w:tc>
      </w:tr>
    </w:tbl>
    <w:p/>
    <w:p>
      <w:pPr>
        <w:spacing w:before="260" w:after="120"/>
        <w:jc w:val="right"/>
        <w:bidi w:val="1"/>
      </w:pPr>
      <w:r>
        <w:rPr>
          <w:b/>
          <w:color w:val="203D4F"/>
          <w:sz w:val="32"/>
          <w:rtl w:val="1"/>
          <w:rFonts w:ascii="Arial" w:hAnsi="Arial" w:cs="Arial"/>
        </w:rPr>
        <w:t>الخلاصة التنفيذية</w:t>
      </w:r>
    </w:p>
    <w:p>
      <w:pPr>
        <w:spacing w:after="140" w:line="300" w:lineRule="auto"/>
        <w:jc w:val="right"/>
        <w:bidi w:val="1"/>
      </w:pPr>
      <w:r>
        <w:rPr>
          <w:b w:val="0"/>
          <w:sz w:val="22"/>
          <w:rtl w:val="1"/>
          <w:rFonts w:ascii="Arial" w:hAnsi="Arial" w:cs="Arial"/>
        </w:rPr>
        <w:t>SENSE منظومة تطوير تربط الكفاءات والمبادرين والمشاريع المحلية بمسارات واضحة: خدمة عامة أكثر مساءلة، مهارة أكثر قابلية للتطبيق، تجربة سياحية مسؤولة، اقتصاد محلي وصناعة، معرفة وذاكرة، وكرامة وإتاحة. تنطلق المنظومة من مستودع مركزي واحد يحفظ التطبيقات والقرارات والمصادر، وتعمل عبر مشروعات مستقلة في الكود والبيانات والحوكمة.</w:t>
      </w:r>
    </w:p>
    <w:p>
      <w:pPr>
        <w:spacing w:before="260" w:after="120"/>
        <w:jc w:val="right"/>
        <w:bidi w:val="1"/>
      </w:pPr>
      <w:r>
        <w:rPr>
          <w:b/>
          <w:color w:val="203D4F"/>
          <w:sz w:val="32"/>
          <w:rtl w:val="1"/>
          <w:rFonts w:ascii="Arial" w:hAnsi="Arial" w:cs="Arial"/>
        </w:rPr>
        <w:t>رسالتنا</w:t>
      </w:r>
    </w:p>
    <w:p>
      <w:pPr>
        <w:spacing w:after="140" w:line="300" w:lineRule="auto"/>
        <w:jc w:val="right"/>
        <w:bidi w:val="1"/>
      </w:pPr>
      <w:r>
        <w:rPr>
          <w:b w:val="0"/>
          <w:sz w:val="22"/>
          <w:rtl w:val="1"/>
          <w:rFonts w:ascii="Arial" w:hAnsi="Arial" w:cs="Arial"/>
        </w:rPr>
        <w:t>تحويل الخبرة المحلية والفكرة والمشكلة اليومية إلى مخرجات عملية قابلة للتطوير: أداة أو تجربة أو مسار مهارة أو مواصفة أو دليل أو مشروع مشترك. نمنح الفرق طريقًا من السؤال إلى النموذج ثم إلى الشراكة أو التشغيل عندما تتوافر الشروط المهنية والقانونية والمالية المناسبة.</w:t>
      </w:r>
    </w:p>
    <w:p>
      <w:pPr>
        <w:spacing w:before="260" w:after="120"/>
        <w:jc w:val="right"/>
        <w:bidi w:val="1"/>
      </w:pPr>
      <w:r>
        <w:rPr>
          <w:b/>
          <w:color w:val="203D4F"/>
          <w:sz w:val="32"/>
          <w:rtl w:val="1"/>
          <w:rFonts w:ascii="Arial" w:hAnsi="Arial" w:cs="Arial"/>
        </w:rPr>
        <w:t>مهمتنا</w:t>
      </w:r>
    </w:p>
    <w:tbl>
      <w:tblPr>
        <w:tblStyle w:val="TableGrid"/>
        <w:tblW w:type="auto" w:w="0"/>
        <w:jc w:val="center"/>
        <w:tblLook w:firstColumn="1" w:firstRow="1" w:lastColumn="0" w:lastRow="0" w:noHBand="0" w:noVBand="1" w:val="04A0"/>
      </w:tblPr>
      <w:tblGrid>
        <w:gridCol w:w="4986"/>
        <w:gridCol w:w="4986"/>
      </w:tblGrid>
      <w:tr>
        <w:tc>
          <w:tcPr>
            <w:tcW w:type="dxa" w:w="4986"/>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المهمة</w:t>
            </w:r>
          </w:p>
        </w:tc>
        <w:tc>
          <w:tcPr>
            <w:tcW w:type="dxa" w:w="4986"/>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الترجمة العملية</w:t>
            </w:r>
          </w:p>
        </w:tc>
      </w:tr>
      <w:tr>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تطوير المنظومات المحلية</w:t>
            </w:r>
          </w:p>
        </w:tc>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تصميم خدمات وأدوات ونماذج تعالج احتياجًا محددًا وتخضع للمراجعة.</w:t>
            </w:r>
          </w:p>
        </w:tc>
      </w:tr>
      <w:tr>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إتاحة المجال للكفاءات</w:t>
            </w:r>
          </w:p>
        </w:tc>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فتح أدوار مهنية واضحة للخبراء والمبادرين والفرق الصغيرة حول مخرجات قابلة للقياس.</w:t>
            </w:r>
          </w:p>
        </w:tc>
      </w:tr>
      <w:tr>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بناء محفظة مشاريع</w:t>
            </w:r>
          </w:p>
        </w:tc>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ربط النوى التقنية والبحثية بمراحل جاهزية وشركاء ومشغلين حقيقيين.</w:t>
            </w:r>
          </w:p>
        </w:tc>
      </w:tr>
      <w:tr>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حفظ المعرفة والذاكرة</w:t>
            </w:r>
          </w:p>
        </w:tc>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توثيق المصدر والحق والقرار حتى تتراكم الخبرة ولا تضيع مع تغير الأفراد أو الظروف.</w:t>
            </w:r>
          </w:p>
        </w:tc>
      </w:tr>
      <w:tr>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رفع جودة الوصول والكرامة</w:t>
            </w:r>
          </w:p>
        </w:tc>
        <w:tc>
          <w:tcPr>
            <w:tcW w:type="dxa" w:w="4986"/>
            <w:vAlign w:val="center"/>
          </w:tcPr>
          <w:p>
            <w:pPr>
              <w:spacing w:after="40" w:line="269" w:lineRule="auto"/>
              <w:jc w:val="right"/>
              <w:bidi w:val="1"/>
            </w:pPr>
            <w:r>
              <w:rPr>
                <w:rtl w:val="1"/>
                <w:rFonts w:ascii="Arial" w:hAnsi="Arial" w:cs="Arial"/>
              </w:rPr>
            </w:r>
            <w:r>
              <w:rPr>
                <w:b w:val="0"/>
                <w:sz w:val="20"/>
                <w:rtl w:val="1"/>
                <w:rFonts w:ascii="Arial" w:hAnsi="Arial" w:cs="Arial"/>
              </w:rPr>
              <w:t>إدماج العربية والإتاحة ووضوح المسار واحتياج المستخدم في تصميم كل مشروع.</w:t>
            </w:r>
          </w:p>
        </w:tc>
      </w:tr>
    </w:tbl>
    <w:p/>
    <w:p>
      <w:pPr>
        <w:spacing w:before="260" w:after="120"/>
        <w:jc w:val="right"/>
        <w:bidi w:val="1"/>
      </w:pPr>
      <w:r>
        <w:rPr>
          <w:b/>
          <w:color w:val="203D4F"/>
          <w:sz w:val="32"/>
          <w:rtl w:val="1"/>
          <w:rFonts w:ascii="Arial" w:hAnsi="Arial" w:cs="Arial"/>
        </w:rPr>
        <w:t>ما يعمل الآن وما ينمو بعد ذلك</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المسار</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التنفيذ الموجود</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الخطوة التالية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Urban‑Sense</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تطبيق بلاغات بلدية عربي: بلاغ، مراجعة، إسناد، أدلة، تحقق وسجل تدقيق.</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تشغيل مفوض على خادم وبلدية تجريبية.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SENSE Experience</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نواة مستقلة لاهتمام مزود ومراجعة بشرية وقرارات مبررة.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قاعدة مستقلة وهوية مراجع وسياسة تشغيل قبل فتح بيانات حقيقية.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النمو والتعلم</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رحلة فردية نحو مخرج صغير وتعاون اختياري.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مالك محتوى ومدرب وحقوق استعمال قبل فتح برنامج.</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السياحة والاقتصاد المحلي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منهج جاهزية وخبرات ومصادر قرار.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مزودون حقيقيون ومشغل واتفاقات قبل دليل عام أو حجوزات.</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المعرفة والإتاحة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أرشيف مصدر ومعايير كرامة وإتاحة.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مساهمات موافق عليها ومخرجات مرتبطة بمشروعات فعلية.</w:t>
            </w:r>
          </w:p>
        </w:tc>
      </w:tr>
    </w:tbl>
    <w:p/>
    <w:p>
      <w:pPr>
        <w:spacing w:before="260" w:after="120"/>
        <w:jc w:val="right"/>
        <w:bidi w:val="1"/>
      </w:pPr>
      <w:r>
        <w:rPr>
          <w:b/>
          <w:color w:val="203D4F"/>
          <w:sz w:val="32"/>
          <w:rtl w:val="1"/>
          <w:rFonts w:ascii="Arial" w:hAnsi="Arial" w:cs="Arial"/>
        </w:rPr>
        <w:t>المبدأ التنفيذي</w:t>
      </w:r>
    </w:p>
    <w:p>
      <w:pPr>
        <w:spacing w:after="140" w:line="300" w:lineRule="auto"/>
        <w:jc w:val="right"/>
        <w:bidi w:val="1"/>
      </w:pPr>
      <w:r>
        <w:rPr>
          <w:b w:val="0"/>
          <w:sz w:val="22"/>
          <w:rtl w:val="1"/>
          <w:rFonts w:ascii="Arial" w:hAnsi="Arial" w:cs="Arial"/>
        </w:rPr>
        <w:t>كل مشروع يبدأ بميزة قابلة للاختبار، ومالك تشغيل، ومصدر بيانات أو معرفة محدد، ومعيار قبول واضح. لا يتحول المسار إلى خدمة عامة أو شراكة أو سوق أو برنامج مفتوح إلا بعد ظهور مشغل وبيانات أو منتجات حقيقية وقرار مناسب.</w:t>
      </w:r>
    </w:p>
    <w:p>
      <w:pPr>
        <w:spacing w:before="260" w:after="120"/>
        <w:jc w:val="right"/>
        <w:bidi w:val="1"/>
      </w:pPr>
      <w:r>
        <w:rPr>
          <w:b/>
          <w:color w:val="203D4F"/>
          <w:sz w:val="32"/>
          <w:rtl w:val="1"/>
          <w:rFonts w:ascii="Arial" w:hAnsi="Arial" w:cs="Arial"/>
        </w:rPr>
        <w:t>ما نطلبه من الفريق والشركاء</w:t>
      </w:r>
    </w:p>
    <w:p>
      <w:pPr>
        <w:pStyle w:val="ListBullet"/>
        <w:spacing w:after="60" w:line="276" w:lineRule="auto"/>
        <w:jc w:val="right"/>
        <w:bidi w:val="1"/>
      </w:pPr>
      <w:r>
        <w:rPr>
          <w:sz w:val="21"/>
          <w:rtl w:val="1"/>
          <w:rFonts w:ascii="Arial" w:hAnsi="Arial" w:cs="Arial"/>
        </w:rPr>
        <w:t>اختيار مشروع أو تجربة واحدة يمكن إنجاز مخرجها الأول خلال 90 يومًا.</w:t>
      </w:r>
    </w:p>
    <w:p>
      <w:pPr>
        <w:pStyle w:val="ListBullet"/>
        <w:spacing w:after="60" w:line="276" w:lineRule="auto"/>
        <w:jc w:val="right"/>
        <w:bidi w:val="1"/>
      </w:pPr>
      <w:r>
        <w:rPr>
          <w:sz w:val="21"/>
          <w:rtl w:val="1"/>
          <w:rFonts w:ascii="Arial" w:hAnsi="Arial" w:cs="Arial"/>
        </w:rPr>
        <w:t>تسمية كفاءات تقود التطوير والجودة والإتاحة والقرار.</w:t>
      </w:r>
    </w:p>
    <w:p>
      <w:pPr>
        <w:pStyle w:val="ListBullet"/>
        <w:spacing w:after="60" w:line="276" w:lineRule="auto"/>
        <w:jc w:val="right"/>
        <w:bidi w:val="1"/>
      </w:pPr>
      <w:r>
        <w:rPr>
          <w:sz w:val="21"/>
          <w:rtl w:val="1"/>
          <w:rFonts w:ascii="Arial" w:hAnsi="Arial" w:cs="Arial"/>
        </w:rPr>
        <w:t>فتح حوار مهني مع جهات مناسبة حول مشروع محدد، لا حول عنوان عام.</w:t>
      </w:r>
    </w:p>
    <w:p>
      <w:pPr>
        <w:pStyle w:val="ListBullet"/>
        <w:spacing w:after="60" w:line="276" w:lineRule="auto"/>
        <w:jc w:val="right"/>
        <w:bidi w:val="1"/>
      </w:pPr>
      <w:r>
        <w:rPr>
          <w:sz w:val="21"/>
          <w:rtl w:val="1"/>
          <w:rFonts w:ascii="Arial" w:hAnsi="Arial" w:cs="Arial"/>
        </w:rPr>
        <w:t>توفير شروط التشغيل المطلوبة تدريجيًا: مشغل، بنية، حقوق، وتمويل أو عقد عند الحاجة.</w:t>
      </w:r>
    </w:p>
    <w:p>
      <w:pPr>
        <w:spacing w:before="260" w:after="120"/>
        <w:jc w:val="right"/>
        <w:bidi w:val="1"/>
      </w:pPr>
      <w:r>
        <w:rPr>
          <w:b/>
          <w:color w:val="203D4F"/>
          <w:sz w:val="32"/>
          <w:rtl w:val="1"/>
          <w:rFonts w:ascii="Arial" w:hAnsi="Arial" w:cs="Arial"/>
        </w:rPr>
        <w:t>مصادر المراجعة الداخلية</w:t>
      </w:r>
    </w:p>
    <w:p>
      <w:pPr>
        <w:spacing w:after="140" w:line="300" w:lineRule="auto"/>
        <w:jc w:val="right"/>
        <w:bidi w:val="1"/>
      </w:pPr>
      <w:r>
        <w:rPr>
          <w:b w:val="0"/>
          <w:color w:val="5A6670"/>
          <w:sz w:val="19"/>
          <w:rtl w:val="1"/>
          <w:rFonts w:ascii="Arial" w:hAnsi="Arial" w:cs="Arial"/>
        </w:rPr>
        <w:t>README.md؛ docs/EXECUTION-STATUS-2026-08-21.md؛ projects/README.md؛ docs/REPOSITORY-AND-PORTAL-REALITY-MAP-2026-08-25.md.</w:t>
      </w:r>
    </w:p>
    <w:p>
      <w:pPr>
        <w:spacing w:after="0" w:line="300" w:lineRule="auto"/>
        <w:jc w:val="center"/>
        <w:bidi w:val="1"/>
      </w:pPr>
      <w:r>
        <w:rPr>
          <w:b w:val="0"/>
          <w:color w:val="5A6670"/>
          <w:sz w:val="18"/>
          <w:rtl w:val="1"/>
          <w:rFonts w:ascii="Arial" w:hAnsi="Arial" w:cs="Arial"/>
        </w:rPr>
        <w:t>SENSE — وثيقة الرسالة والمهمة والخلاصة التنفيذية</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