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737999" cy="737999"/>
                    </a:xfrm>
                    <a:prstGeom prst="rect"/>
                  </pic:spPr>
                </pic:pic>
              </a:graphicData>
            </a:graphic>
          </wp:inline>
        </w:drawing>
      </w:r>
    </w:p>
    <w:p>
      <w:pPr>
        <w:spacing w:after="60" w:line="300" w:lineRule="auto"/>
        <w:jc w:val="center"/>
        <w:bidi w:val="1"/>
      </w:pPr>
      <w:r>
        <w:rPr>
          <w:b/>
          <w:color w:val="203D4F"/>
          <w:sz w:val="40"/>
          <w:rtl w:val="1"/>
          <w:rFonts w:ascii="Arial" w:hAnsi="Arial" w:cs="Arial"/>
        </w:rPr>
        <w:t>محفظة مشاريع SENSE وخارطة التشغيل</w:t>
      </w:r>
    </w:p>
    <w:p>
      <w:pPr>
        <w:spacing w:after="240" w:line="300" w:lineRule="auto"/>
        <w:jc w:val="center"/>
        <w:bidi w:val="1"/>
      </w:pPr>
      <w:r>
        <w:rPr>
          <w:b/>
          <w:color w:val="714F14"/>
          <w:sz w:val="25"/>
          <w:rtl w:val="1"/>
          <w:rFonts w:ascii="Arial" w:hAnsi="Arial" w:cs="Arial"/>
        </w:rPr>
        <w:t>ما هو مبني، وما يمكن تطويره، وما يلزم للانتقال إلى التشغيل</w:t>
      </w:r>
    </w:p>
    <w:tbl>
      <w:tblPr>
        <w:tblW w:type="auto" w:w="0"/>
        <w:jc w:val="center"/>
        <w:tblLook w:firstColumn="1" w:firstRow="1" w:lastColumn="0" w:lastRow="0" w:noHBand="0" w:noVBand="1" w:val="04A0"/>
      </w:tblPr>
      <w:tblGrid>
        <w:gridCol w:w="9972"/>
      </w:tblGrid>
      <w:tr>
        <w:tc>
          <w:tcPr>
            <w:tcW w:type="dxa" w:w="9972"/>
            <w:shd w:fill="EDF3F5"/>
            <w:vAlign w:val="center"/>
          </w:tcPr>
          <w:p>
            <w:pPr>
              <w:spacing w:after="40" w:line="269" w:lineRule="auto"/>
              <w:jc w:val="right"/>
              <w:bidi w:val="1"/>
            </w:pPr>
            <w:r>
              <w:rPr>
                <w:rtl w:val="1"/>
                <w:rFonts w:ascii="Arial" w:hAnsi="Arial" w:cs="Arial"/>
              </w:rPr>
            </w:r>
            <w:r>
              <w:rPr>
                <w:b/>
                <w:color w:val="203D4F"/>
                <w:sz w:val="21"/>
                <w:rtl w:val="1"/>
                <w:rFonts w:ascii="Arial" w:hAnsi="Arial" w:cs="Arial"/>
              </w:rPr>
              <w:t>وثيقة قرار وتشغيل للفريق والكفاءات — تميز بين التطبيق الفعلي والنواة والمقترح.</w:t>
            </w:r>
          </w:p>
        </w:tc>
      </w:tr>
    </w:tbl>
    <w:p/>
    <w:p>
      <w:pPr>
        <w:spacing w:before="260" w:after="120"/>
        <w:jc w:val="right"/>
        <w:bidi w:val="1"/>
      </w:pPr>
      <w:r>
        <w:rPr>
          <w:b/>
          <w:color w:val="203D4F"/>
          <w:sz w:val="32"/>
          <w:rtl w:val="1"/>
          <w:rFonts w:ascii="Arial" w:hAnsi="Arial" w:cs="Arial"/>
        </w:rPr>
        <w:t>كيف نقرأ المحفظة؟</w:t>
      </w:r>
    </w:p>
    <w:p>
      <w:pPr>
        <w:spacing w:after="140" w:line="300" w:lineRule="auto"/>
        <w:jc w:val="right"/>
        <w:bidi w:val="1"/>
      </w:pPr>
      <w:r>
        <w:rPr>
          <w:b w:val="0"/>
          <w:sz w:val="22"/>
          <w:rtl w:val="1"/>
          <w:rFonts w:ascii="Arial" w:hAnsi="Arial" w:cs="Arial"/>
        </w:rPr>
        <w:t>تضم SENSE تطبيقات مبنية، ونوى مستقلة، ومسارات تطوير مقترحة. هذه الوثيقة تعرض كل طبقة كما هي، ثم تحدد العمل الذي يحولها إلى مشروع قابل للتشغيل. الهدف هو توجيه الجهد إلى ما يمكن إنجازه بدل تشتيته بين عناوين واسعة.</w:t>
      </w:r>
    </w:p>
    <w:p>
      <w:pPr>
        <w:spacing w:before="260" w:after="120"/>
        <w:jc w:val="right"/>
        <w:bidi w:val="1"/>
      </w:pPr>
      <w:r>
        <w:rPr>
          <w:b/>
          <w:color w:val="203D4F"/>
          <w:sz w:val="32"/>
          <w:rtl w:val="1"/>
          <w:rFonts w:ascii="Arial" w:hAnsi="Arial" w:cs="Arial"/>
        </w:rPr>
        <w:t>محفظة التنفيذ الحالية</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المشروع</w:t>
            </w:r>
          </w:p>
        </w:tc>
        <w:tc>
          <w:tcPr>
            <w:tcW w:type="dxa" w:w="2493"/>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القيمة العملية</w:t>
            </w:r>
          </w:p>
        </w:tc>
        <w:tc>
          <w:tcPr>
            <w:tcW w:type="dxa" w:w="2493"/>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الكفاءات المطلوبة الآن</w:t>
            </w:r>
          </w:p>
        </w:tc>
        <w:tc>
          <w:tcPr>
            <w:tcW w:type="dxa" w:w="2493"/>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بوابة الانتقال</w:t>
            </w:r>
          </w:p>
        </w:tc>
      </w:tr>
      <w:tr>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Urban‑Sense</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مسار بلاغات وخدمة بلدية قابل للمساءلة والتدقيق.</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تطوير، تصميم خدمة، إدارة بلدية، جودة، دعم تشغيل.</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جهة بلدية مفوضة وخادم وOIDC وقاعدة مستقلة.</w:t>
            </w:r>
          </w:p>
        </w:tc>
      </w:tr>
      <w:tr>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SENSE Experience</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نواة جاهزية مزود وتجربة خدمة ومراجعة مقيدة.</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سياحة، تجربة مستخدم، مراجعة جودة، قانون وبيانات.</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مشغل مستقل، مراجع فعال، سياسة بيانات، موافقة تشغيل.</w:t>
            </w:r>
          </w:p>
        </w:tc>
      </w:tr>
      <w:tr>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مسار النمو</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هدف فردي ومخرج مهارة يفتح تعاونًا عمليًا.</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مدربون، مصممون تعليميون، خبراء تخصص.</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مالك محتوى ومنهج وحقوق استعمال ونطاق برنامج.</w:t>
            </w:r>
          </w:p>
        </w:tc>
      </w:tr>
      <w:tr>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أرشيف المعرفة والإتاحة</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مصدر وحق وقرار ومعايير تصميم أكثر شمولًا.</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باحثون، محررون، أمناء مصادر، خبراء إتاحة.</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سياسة مساهمة ومراجعة حقوق ومشروع مرتبط.</w:t>
            </w:r>
          </w:p>
        </w:tc>
      </w:tr>
      <w:tr>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السوق والتصنيع الرقمي</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فرص مستقبلية لتجربة فئة منتجات أو نموذج تصنيع.</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مبادرون، حرفيون، مصممون منتجات، مشغلو آلات.</w:t>
            </w:r>
          </w:p>
        </w:tc>
        <w:tc>
          <w:tcPr>
            <w:tcW w:type="dxa" w:w="2493"/>
            <w:vAlign w:val="center"/>
          </w:tcPr>
          <w:p>
            <w:pPr>
              <w:spacing w:after="40" w:line="269" w:lineRule="auto"/>
              <w:jc w:val="right"/>
              <w:bidi w:val="1"/>
            </w:pPr>
            <w:r>
              <w:rPr>
                <w:rtl w:val="1"/>
                <w:rFonts w:ascii="Arial" w:hAnsi="Arial" w:cs="Arial"/>
              </w:rPr>
            </w:r>
            <w:r>
              <w:rPr>
                <w:b w:val="0"/>
                <w:sz w:val="20"/>
                <w:rtl w:val="1"/>
                <w:rFonts w:ascii="Arial" w:hAnsi="Arial" w:cs="Arial"/>
              </w:rPr>
              <w:t>مشغل حقيقي ومنتجات وحقوق وسلامة وتنفيذ.</w:t>
            </w:r>
          </w:p>
        </w:tc>
      </w:tr>
    </w:tbl>
    <w:p/>
    <w:p>
      <w:pPr>
        <w:spacing w:before="260" w:after="120"/>
        <w:jc w:val="right"/>
        <w:bidi w:val="1"/>
      </w:pPr>
      <w:r>
        <w:rPr>
          <w:b/>
          <w:color w:val="203D4F"/>
          <w:sz w:val="32"/>
          <w:rtl w:val="1"/>
          <w:rFonts w:ascii="Arial" w:hAnsi="Arial" w:cs="Arial"/>
        </w:rPr>
        <w:t>خارطة 90 يومًا لإطلاق تجربة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الفترة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العمل</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المخرج</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1–30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تجميع كفاءات، تحديد فرصة، اختيار مالك مشروع ومعيار جودة.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ورقة نطاق وفريق وخطة أولية.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31–60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تصميم وبناء نموذج أو دليل أو رحلة خدمة ومراجعة الإتاحة.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مخرج أول قابل للمراجعة.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61–90 يومًا</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اختبار محدود، توثيق نتيجة، وتحديد الشريك أو قرار التكرار.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عرض مشروع وخطة تطوير أو تشغيل.</w:t>
            </w:r>
          </w:p>
        </w:tc>
      </w:tr>
    </w:tbl>
    <w:p/>
    <w:p>
      <w:pPr>
        <w:spacing w:before="260" w:after="120"/>
        <w:jc w:val="right"/>
        <w:bidi w:val="1"/>
      </w:pPr>
      <w:r>
        <w:rPr>
          <w:b/>
          <w:color w:val="203D4F"/>
          <w:sz w:val="32"/>
          <w:rtl w:val="1"/>
          <w:rFonts w:ascii="Arial" w:hAnsi="Arial" w:cs="Arial"/>
        </w:rPr>
        <w:t>قرارات التشغيل التي تحتاجها المحفظة</w:t>
      </w:r>
    </w:p>
    <w:p>
      <w:pPr>
        <w:pStyle w:val="ListBullet"/>
        <w:spacing w:after="60" w:line="276" w:lineRule="auto"/>
        <w:jc w:val="right"/>
        <w:bidi w:val="1"/>
      </w:pPr>
      <w:r>
        <w:rPr>
          <w:sz w:val="21"/>
          <w:rtl w:val="1"/>
          <w:rFonts w:ascii="Arial" w:hAnsi="Arial" w:cs="Arial"/>
        </w:rPr>
        <w:t>تعيين مالك لكل مسار ومالك بيانات ومالك جودة.</w:t>
      </w:r>
    </w:p>
    <w:p>
      <w:pPr>
        <w:pStyle w:val="ListBullet"/>
        <w:spacing w:after="60" w:line="276" w:lineRule="auto"/>
        <w:jc w:val="right"/>
        <w:bidi w:val="1"/>
      </w:pPr>
      <w:r>
        <w:rPr>
          <w:sz w:val="21"/>
          <w:rtl w:val="1"/>
          <w:rFonts w:ascii="Arial" w:hAnsi="Arial" w:cs="Arial"/>
        </w:rPr>
        <w:t>اختيار خادم وتشغيل مستقل لمنتج Urban‑Sense عند الجاهزية.</w:t>
      </w:r>
    </w:p>
    <w:p>
      <w:pPr>
        <w:pStyle w:val="ListBullet"/>
        <w:spacing w:after="60" w:line="276" w:lineRule="auto"/>
        <w:jc w:val="right"/>
        <w:bidi w:val="1"/>
      </w:pPr>
      <w:r>
        <w:rPr>
          <w:sz w:val="21"/>
          <w:rtl w:val="1"/>
          <w:rFonts w:ascii="Arial" w:hAnsi="Arial" w:cs="Arial"/>
        </w:rPr>
        <w:t>تحديد أول مزود أو شريك حقيقي لمسار SENSE Experience قبل أي استقبال بيانات.</w:t>
      </w:r>
    </w:p>
    <w:p>
      <w:pPr>
        <w:pStyle w:val="ListBullet"/>
        <w:spacing w:after="60" w:line="276" w:lineRule="auto"/>
        <w:jc w:val="right"/>
        <w:bidi w:val="1"/>
      </w:pPr>
      <w:r>
        <w:rPr>
          <w:sz w:val="21"/>
          <w:rtl w:val="1"/>
          <w:rFonts w:ascii="Arial" w:hAnsi="Arial" w:cs="Arial"/>
        </w:rPr>
        <w:t>فتح مسار مهارة واحد فقط مع صاحب محتوى ومدرب وحقوق محددة.</w:t>
      </w:r>
    </w:p>
    <w:p>
      <w:pPr>
        <w:pStyle w:val="ListBullet"/>
        <w:spacing w:after="60" w:line="276" w:lineRule="auto"/>
        <w:jc w:val="right"/>
        <w:bidi w:val="1"/>
      </w:pPr>
      <w:r>
        <w:rPr>
          <w:sz w:val="21"/>
          <w:rtl w:val="1"/>
          <w:rFonts w:ascii="Arial" w:hAnsi="Arial" w:cs="Arial"/>
        </w:rPr>
        <w:t>اختيار مشروع صناعة أو سياحة واحد يملك مشغلًا ومخرجًا أوليًا واضحًا.</w:t>
      </w:r>
    </w:p>
    <w:p>
      <w:pPr>
        <w:spacing w:before="260" w:after="120"/>
        <w:jc w:val="right"/>
        <w:bidi w:val="1"/>
      </w:pPr>
      <w:r>
        <w:rPr>
          <w:b/>
          <w:color w:val="203D4F"/>
          <w:sz w:val="32"/>
          <w:rtl w:val="1"/>
          <w:rFonts w:ascii="Arial" w:hAnsi="Arial" w:cs="Arial"/>
        </w:rPr>
        <w:t>مصادر المراجعة الداخلية</w:t>
      </w:r>
    </w:p>
    <w:p>
      <w:pPr>
        <w:spacing w:after="140" w:line="300" w:lineRule="auto"/>
        <w:jc w:val="right"/>
        <w:bidi w:val="1"/>
      </w:pPr>
      <w:r>
        <w:rPr>
          <w:b w:val="0"/>
          <w:color w:val="5A6670"/>
          <w:sz w:val="19"/>
          <w:rtl w:val="1"/>
          <w:rFonts w:ascii="Arial" w:hAnsi="Arial" w:cs="Arial"/>
        </w:rPr>
        <w:t>README.md؛ projects/README.md؛ docs/EXECUTION-STATUS-2026-08-21.md؛ docs/REPOSITORY-AND-PORTAL-REALITY-MAP-2026-08-25.md.</w:t>
      </w:r>
    </w:p>
    <w:p>
      <w:pPr>
        <w:spacing w:after="0" w:line="300" w:lineRule="auto"/>
        <w:jc w:val="center"/>
        <w:bidi w:val="1"/>
      </w:pPr>
      <w:r>
        <w:rPr>
          <w:b w:val="0"/>
          <w:color w:val="5A6670"/>
          <w:sz w:val="18"/>
          <w:rtl w:val="1"/>
          <w:rFonts w:ascii="Arial" w:hAnsi="Arial" w:cs="Arial"/>
        </w:rPr>
        <w:t>SENSE — محفظة المشاريع وخارطة التشغيل</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