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37999" cy="737999"/>
            <wp:docPr id="1" name="Picture 1"/>
            <wp:cNvGraphicFramePr>
              <a:graphicFrameLocks noChangeAspect="1"/>
            </wp:cNvGraphicFramePr>
            <a:graphic>
              <a:graphicData uri="http://schemas.openxmlformats.org/drawingml/2006/picture">
                <pic:pic>
                  <pic:nvPicPr>
                    <pic:cNvPr id="0" name="sense-block-monogram-camera-b.png"/>
                    <pic:cNvPicPr/>
                  </pic:nvPicPr>
                  <pic:blipFill>
                    <a:blip r:embed="rId9"/>
                    <a:stretch>
                      <a:fillRect/>
                    </a:stretch>
                  </pic:blipFill>
                  <pic:spPr>
                    <a:xfrm>
                      <a:off x="0" y="0"/>
                      <a:ext cx="737999" cy="737999"/>
                    </a:xfrm>
                    <a:prstGeom prst="rect"/>
                  </pic:spPr>
                </pic:pic>
              </a:graphicData>
            </a:graphic>
          </wp:inline>
        </w:drawing>
      </w:r>
    </w:p>
    <w:p>
      <w:pPr>
        <w:spacing w:after="60" w:line="300" w:lineRule="auto"/>
        <w:jc w:val="center"/>
        <w:bidi w:val="1"/>
      </w:pPr>
      <w:r>
        <w:rPr>
          <w:b/>
          <w:color w:val="203D4F"/>
          <w:sz w:val="40"/>
          <w:rtl w:val="1"/>
          <w:rFonts w:ascii="Arial" w:hAnsi="Arial" w:cs="Arial"/>
        </w:rPr>
        <w:t>دليل المشاركة والتعاون في SENSE</w:t>
      </w:r>
    </w:p>
    <w:p>
      <w:pPr>
        <w:spacing w:after="240" w:line="300" w:lineRule="auto"/>
        <w:jc w:val="center"/>
        <w:bidi w:val="1"/>
      </w:pPr>
      <w:r>
        <w:rPr>
          <w:b/>
          <w:color w:val="714F14"/>
          <w:sz w:val="25"/>
          <w:rtl w:val="1"/>
          <w:rFonts w:ascii="Arial" w:hAnsi="Arial" w:cs="Arial"/>
        </w:rPr>
        <w:t>للكفاءات والمبادرين والفرق التي تريد بناء مشروع محلي</w:t>
      </w:r>
    </w:p>
    <w:tbl>
      <w:tblPr>
        <w:tblW w:type="auto" w:w="0"/>
        <w:jc w:val="center"/>
        <w:tblLook w:firstColumn="1" w:firstRow="1" w:lastColumn="0" w:lastRow="0" w:noHBand="0" w:noVBand="1" w:val="04A0"/>
      </w:tblPr>
      <w:tblGrid>
        <w:gridCol w:w="9972"/>
      </w:tblGrid>
      <w:tr>
        <w:tc>
          <w:tcPr>
            <w:tcW w:type="dxa" w:w="9972"/>
            <w:shd w:fill="EDF3F5"/>
            <w:vAlign w:val="center"/>
          </w:tcPr>
          <w:p>
            <w:pPr>
              <w:spacing w:after="40" w:line="269" w:lineRule="auto"/>
              <w:jc w:val="right"/>
              <w:bidi w:val="1"/>
            </w:pPr>
            <w:r>
              <w:rPr>
                <w:rtl w:val="1"/>
                <w:rFonts w:ascii="Arial" w:hAnsi="Arial" w:cs="Arial"/>
              </w:rPr>
            </w:r>
            <w:r>
              <w:rPr>
                <w:b/>
                <w:color w:val="203D4F"/>
                <w:sz w:val="21"/>
                <w:rtl w:val="1"/>
                <w:rFonts w:ascii="Arial" w:hAnsi="Arial" w:cs="Arial"/>
              </w:rPr>
              <w:t>دعوة مهنية إلى المشاركة في مشروعات محددة بمخرجات واضحة وخطوات تعاون متدرجة.</w:t>
            </w:r>
          </w:p>
        </w:tc>
      </w:tr>
    </w:tbl>
    <w:p/>
    <w:p>
      <w:pPr>
        <w:spacing w:before="260" w:after="120"/>
        <w:jc w:val="right"/>
        <w:bidi w:val="1"/>
      </w:pPr>
      <w:r>
        <w:rPr>
          <w:b/>
          <w:color w:val="203D4F"/>
          <w:sz w:val="32"/>
          <w:rtl w:val="1"/>
          <w:rFonts w:ascii="Arial" w:hAnsi="Arial" w:cs="Arial"/>
        </w:rPr>
        <w:t>لماذا تشارك؟</w:t>
      </w:r>
    </w:p>
    <w:p>
      <w:pPr>
        <w:spacing w:after="140" w:line="300" w:lineRule="auto"/>
        <w:jc w:val="right"/>
        <w:bidi w:val="1"/>
      </w:pPr>
      <w:r>
        <w:rPr>
          <w:b w:val="0"/>
          <w:sz w:val="22"/>
          <w:rtl w:val="1"/>
          <w:rFonts w:ascii="Arial" w:hAnsi="Arial" w:cs="Arial"/>
        </w:rPr>
        <w:t>توفر SENSE مساحة تحويل بين ما تعرفه وما يحتاجه المكان. تستطيع أن تدخل بخبرة هندسية أو تصميمية أو تعليمية أو صناعية أو سياحية أو بحثية، وأن تعمل مع فريق صغير على مخرج محدد: نموذج، أداة، دليل، تجربة، مواصفة، أو ملف مشروع. ينمو المسار من قيمة عملية يراها الفريق والشريك والمستخدم.</w:t>
      </w:r>
    </w:p>
    <w:p>
      <w:pPr>
        <w:spacing w:before="260" w:after="120"/>
        <w:jc w:val="right"/>
        <w:bidi w:val="1"/>
      </w:pPr>
      <w:r>
        <w:rPr>
          <w:b/>
          <w:color w:val="203D4F"/>
          <w:sz w:val="32"/>
          <w:rtl w:val="1"/>
          <w:rFonts w:ascii="Arial" w:hAnsi="Arial" w:cs="Arial"/>
        </w:rPr>
        <w:t>المجالات والأدوار</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الفئة</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دورها في المشروع</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أمثلة على مخرجات</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مهندسون ومطورون</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أدوات ومنصات ونماذج رقمية وبنية تشغيل.</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نموذج تطبيق، لوحة متابعة، تكامل أو اختبار جودة.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مصممون ومعماريون ومخططون</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تجربة مستخدم وإتاحة وهوية مكان وخدمة.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رحلة، واجهة، مواصفة مكان أو معيار تجربة.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باحثون ومدربون</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تحويل المعرفة إلى قرار ومسار مهارة ومراجعة.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دليل، تحدي تعلم، سجل مصدر أو مؤشر جودة.</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حرفيون وصناع ومصممو منتجات</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اختبار الإنتاج والمادة وسلسلة القيمة والسوق.</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نموذج منتج، خطة تصنيع، معيار جودة أو تغليف.</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خبراء سياحة وثقافة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تطوير تجربة محلية مسؤولة وهوية وعرض مناسب.</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دليل جاهزية، تجربة زائر، محتوى مصدره واضح.</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مبادرون ومنظمون</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تحديد الفرصة، جمع الفريق، وتحريك التجربة.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ورقة نطاق، خطة تجربة، مسار شريك أو حملة تعريفية.</w:t>
            </w:r>
          </w:p>
        </w:tc>
      </w:tr>
    </w:tbl>
    <w:p/>
    <w:p>
      <w:pPr>
        <w:spacing w:before="260" w:after="120"/>
        <w:jc w:val="right"/>
        <w:bidi w:val="1"/>
      </w:pPr>
      <w:r>
        <w:rPr>
          <w:b/>
          <w:color w:val="203D4F"/>
          <w:sz w:val="32"/>
          <w:rtl w:val="1"/>
          <w:rFonts w:ascii="Arial" w:hAnsi="Arial" w:cs="Arial"/>
        </w:rPr>
        <w:t>مسار الانضمام</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المرحلة</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ما تقدمه</w:t>
            </w:r>
          </w:p>
        </w:tc>
        <w:tc>
          <w:tcPr>
            <w:tcW w:type="dxa" w:w="3324"/>
            <w:shd w:fill="203D4F"/>
            <w:vAlign w:val="center"/>
          </w:tcPr>
          <w:p>
            <w:pPr>
              <w:spacing w:after="40" w:line="269" w:lineRule="auto"/>
              <w:jc w:val="right"/>
              <w:bidi w:val="1"/>
            </w:pPr>
            <w:r>
              <w:rPr>
                <w:rtl w:val="1"/>
                <w:rFonts w:ascii="Arial" w:hAnsi="Arial" w:cs="Arial"/>
              </w:rPr>
            </w:r>
            <w:r>
              <w:rPr>
                <w:b/>
                <w:color w:val="FFFFFF"/>
                <w:sz w:val="20"/>
                <w:rtl w:val="1"/>
                <w:rFonts w:ascii="Arial" w:hAnsi="Arial" w:cs="Arial"/>
              </w:rPr>
              <w:t>ما يبنيه الفريق</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تقديم موجز</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خبرتك أو فكرتك أو التحدي الذي تراه.</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فهم أولي للفرصة والمخرج الممكن.</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تحديد نطاق</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دورك ووقتك والمعرفة أو المادة المتاحة.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هدف وفريق صغير ومعيار قبول.</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بناء ومراجعة</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عمل تخصصي أو مراجعة أو اختبار.</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نموذج أو دليل أو تجربة قابلة للعرض.</w:t>
            </w:r>
          </w:p>
        </w:tc>
      </w:tr>
      <w:tr>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قرار تالي</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تغذية راجعة ومقترح تطوير.</w:t>
            </w:r>
          </w:p>
        </w:tc>
        <w:tc>
          <w:tcPr>
            <w:tcW w:type="dxa" w:w="3324"/>
            <w:vAlign w:val="center"/>
          </w:tcPr>
          <w:p>
            <w:pPr>
              <w:spacing w:after="40" w:line="269" w:lineRule="auto"/>
              <w:jc w:val="right"/>
              <w:bidi w:val="1"/>
            </w:pPr>
            <w:r>
              <w:rPr>
                <w:rtl w:val="1"/>
                <w:rFonts w:ascii="Arial" w:hAnsi="Arial" w:cs="Arial"/>
              </w:rPr>
            </w:r>
            <w:r>
              <w:rPr>
                <w:b w:val="0"/>
                <w:sz w:val="20"/>
                <w:rtl w:val="1"/>
                <w:rFonts w:ascii="Arial" w:hAnsi="Arial" w:cs="Arial"/>
              </w:rPr>
              <w:t>خطة تكرار أو شراكة أو تشغيل متدرج.</w:t>
            </w:r>
          </w:p>
        </w:tc>
      </w:tr>
    </w:tbl>
    <w:p/>
    <w:p>
      <w:pPr>
        <w:spacing w:before="260" w:after="120"/>
        <w:jc w:val="right"/>
        <w:bidi w:val="1"/>
      </w:pPr>
      <w:r>
        <w:rPr>
          <w:b/>
          <w:color w:val="203D4F"/>
          <w:sz w:val="32"/>
          <w:rtl w:val="1"/>
          <w:rFonts w:ascii="Arial" w:hAnsi="Arial" w:cs="Arial"/>
        </w:rPr>
        <w:t>ما نلتزم به تجاه المشاركة</w:t>
      </w:r>
    </w:p>
    <w:p>
      <w:pPr>
        <w:spacing w:after="140" w:line="300" w:lineRule="auto"/>
        <w:jc w:val="right"/>
        <w:bidi w:val="1"/>
      </w:pPr>
      <w:r>
        <w:rPr>
          <w:b w:val="0"/>
          <w:sz w:val="22"/>
          <w:rtl w:val="1"/>
          <w:rFonts w:ascii="Arial" w:hAnsi="Arial" w:cs="Arial"/>
        </w:rPr>
        <w:t>نلتزم بوضوح الدور والمخرج وحق المصدر والنسبة قبل استخدام أي مادة. تظل ملكية العمل وشروط استخدامه ووجود مقابل أو عقد أو شراكة عناصر تحدد في اتفاق مناسب للمشروع؛ لا تُفترض من مجرد المشاركة. يضمن هذا الأسلوب بيئة مهنية يمكن للكفاءة أن تضيف فيها إلى ملفها وإلى محفظة مشاريع مشتركة.</w:t>
      </w:r>
    </w:p>
    <w:p>
      <w:pPr>
        <w:spacing w:before="260" w:after="120"/>
        <w:jc w:val="right"/>
        <w:bidi w:val="1"/>
      </w:pPr>
      <w:r>
        <w:rPr>
          <w:b/>
          <w:color w:val="203D4F"/>
          <w:sz w:val="32"/>
          <w:rtl w:val="1"/>
          <w:rFonts w:ascii="Arial" w:hAnsi="Arial" w:cs="Arial"/>
        </w:rPr>
        <w:t>الخطوة المطلوبة الآن</w:t>
      </w:r>
    </w:p>
    <w:p>
      <w:pPr>
        <w:spacing w:after="140" w:line="300" w:lineRule="auto"/>
        <w:jc w:val="right"/>
        <w:bidi w:val="1"/>
      </w:pPr>
      <w:r>
        <w:rPr>
          <w:b w:val="0"/>
          <w:sz w:val="22"/>
          <w:rtl w:val="1"/>
          <w:rFonts w:ascii="Arial" w:hAnsi="Arial" w:cs="Arial"/>
        </w:rPr>
        <w:t>أرسل نبذة قصيرة عنك أو عن فريقك، المجال الذي تريد تطويره، المشكلة أو الفرصة التي تراها، والمخرج الأول الذي يمكن إنجازه خلال أسابيع. تبدأ المحادثة باختيار نقطة قابلة للتنفيذ، ثم ينتقل العمل إلى نطاق وفريق وخطة قصيرة.</w:t>
      </w:r>
    </w:p>
    <w:p>
      <w:pPr>
        <w:spacing w:after="0" w:line="300" w:lineRule="auto"/>
        <w:jc w:val="center"/>
        <w:bidi w:val="1"/>
      </w:pPr>
      <w:r>
        <w:rPr>
          <w:b w:val="0"/>
          <w:color w:val="5A6670"/>
          <w:sz w:val="18"/>
          <w:rtl w:val="1"/>
          <w:rFonts w:ascii="Arial" w:hAnsi="Arial" w:cs="Arial"/>
        </w:rPr>
        <w:t>SENSE — دليل المشاركة والتعاون للكفاءات والمبادرين</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