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737999" cy="737999"/>
                    </a:xfrm>
                    <a:prstGeom prst="rect"/>
                  </pic:spPr>
                </pic:pic>
              </a:graphicData>
            </a:graphic>
          </wp:inline>
        </w:drawing>
      </w:r>
    </w:p>
    <w:p>
      <w:pPr>
        <w:spacing w:after="60" w:line="300" w:lineRule="auto"/>
        <w:jc w:val="center"/>
        <w:bidi w:val="1"/>
      </w:pPr>
      <w:r>
        <w:rPr>
          <w:b/>
          <w:color w:val="203D4F"/>
          <w:sz w:val="40"/>
          <w:rtl w:val="1"/>
          <w:rFonts w:ascii="Arial" w:hAnsi="Arial" w:cs="Arial"/>
        </w:rPr>
        <w:t>دليل التنفيذ والحوكمة لمركز SENSE</w:t>
      </w:r>
    </w:p>
    <w:p>
      <w:pPr>
        <w:spacing w:after="240" w:line="300" w:lineRule="auto"/>
        <w:jc w:val="center"/>
        <w:bidi w:val="1"/>
      </w:pPr>
      <w:r>
        <w:rPr>
          <w:b/>
          <w:color w:val="714F14"/>
          <w:sz w:val="25"/>
          <w:rtl w:val="1"/>
          <w:rFonts w:ascii="Arial" w:hAnsi="Arial" w:cs="Arial"/>
        </w:rPr>
        <w:t>كيف ينتقل الفريق من القرار إلى تجربة ثم إلى تشغيل أو شراكة</w:t>
      </w:r>
    </w:p>
    <w:tbl>
      <w:tblPr>
        <w:tblW w:type="auto" w:w="0"/>
        <w:jc w:val="center"/>
        <w:tblLook w:firstColumn="1" w:firstRow="1" w:lastColumn="0" w:lastRow="0" w:noHBand="0" w:noVBand="1" w:val="04A0"/>
      </w:tblPr>
      <w:tblGrid>
        <w:gridCol w:w="9972"/>
      </w:tblGrid>
      <w:tr>
        <w:tc>
          <w:tcPr>
            <w:tcW w:type="dxa" w:w="9972"/>
            <w:shd w:fill="EDF3F5"/>
            <w:vAlign w:val="center"/>
          </w:tcPr>
          <w:p>
            <w:pPr>
              <w:spacing w:after="40" w:line="269" w:lineRule="auto"/>
              <w:jc w:val="right"/>
              <w:bidi w:val="1"/>
            </w:pPr>
            <w:r>
              <w:rPr>
                <w:rtl w:val="1"/>
                <w:rFonts w:ascii="Arial" w:hAnsi="Arial" w:cs="Arial"/>
              </w:rPr>
            </w:r>
            <w:r>
              <w:rPr>
                <w:b/>
                <w:color w:val="203D4F"/>
                <w:sz w:val="21"/>
                <w:rtl w:val="1"/>
                <w:rFonts w:ascii="Arial" w:hAnsi="Arial" w:cs="Arial"/>
              </w:rPr>
              <w:t>وثيقة داخلية وخارجيّة مختصرة: تبدأ بالتنفيذ، ثم تضع الحوكمة كدعامة للثقة والاستمرارية.</w:t>
            </w:r>
          </w:p>
        </w:tc>
      </w:tr>
    </w:tbl>
    <w:p/>
    <w:p>
      <w:pPr>
        <w:spacing w:before="260" w:after="120"/>
        <w:jc w:val="right"/>
        <w:bidi w:val="1"/>
      </w:pPr>
      <w:r>
        <w:rPr>
          <w:b/>
          <w:color w:val="203D4F"/>
          <w:sz w:val="32"/>
          <w:rtl w:val="1"/>
          <w:rFonts w:ascii="Arial" w:hAnsi="Arial" w:cs="Arial"/>
        </w:rPr>
        <w:t>بداية التنفيذ</w:t>
      </w:r>
    </w:p>
    <w:p>
      <w:pPr>
        <w:spacing w:after="140" w:line="300" w:lineRule="auto"/>
        <w:jc w:val="right"/>
        <w:bidi w:val="1"/>
      </w:pPr>
      <w:r>
        <w:rPr>
          <w:b w:val="0"/>
          <w:sz w:val="22"/>
          <w:rtl w:val="1"/>
          <w:rFonts w:ascii="Arial" w:hAnsi="Arial" w:cs="Arial"/>
        </w:rPr>
        <w:t>يبدأ مركز SENSE باختيار مشروع واحد يملك مشكلة محددة، وفريقًا صغيرًا، ومالكًا للمخرج، ومصدرًا أو معرفة يمكن استخدامها، ومعيارًا يحدد ما إذا كانت التجربة نجحت أو تحتاج تغييرًا. يثبت العمل في دورة 90 يومًا قبل أن ينتقل إلى تشغيل أوسع أو عقد أو منشأة أو شكل قانوني.</w:t>
      </w:r>
    </w:p>
    <w:p>
      <w:pPr>
        <w:spacing w:before="260" w:after="120"/>
        <w:jc w:val="right"/>
        <w:bidi w:val="1"/>
      </w:pPr>
      <w:r>
        <w:rPr>
          <w:b/>
          <w:color w:val="203D4F"/>
          <w:sz w:val="32"/>
          <w:rtl w:val="1"/>
          <w:rFonts w:ascii="Arial" w:hAnsi="Arial" w:cs="Arial"/>
        </w:rPr>
        <w:t>لوحة التنفيذ</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المحور</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سؤال الفريق</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مخرج مطلوب</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الفرصة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ما الحاجة أو السوق أو الخدمة التي نريد تطويرها؟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ورقة نطاق مختصرة.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الفريق</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من يقود المخرج ومن يراجع الجودة والإتاحة؟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أدوار واضحة وخطة عمل.</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المشروع</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ما النموذج أو الدليل أو الخدمة الأولى؟</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مخرج قابل للمراجعة والعرض.</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التشغيل</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ما الذي يحتاجه المشروع ليعمل مع جهة حقيقية؟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مشغل وحقوق وبيانات أو منتجات وسياسة مناسبة.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الشراكة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ما القيمة التي يتبادلها الطرفان؟</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اتفاق نطاق أو عقد عند الجاهزية.</w:t>
            </w:r>
          </w:p>
        </w:tc>
      </w:tr>
    </w:tbl>
    <w:p/>
    <w:p>
      <w:pPr>
        <w:spacing w:before="260" w:after="120"/>
        <w:jc w:val="right"/>
        <w:bidi w:val="1"/>
      </w:pPr>
      <w:r>
        <w:rPr>
          <w:b/>
          <w:color w:val="203D4F"/>
          <w:sz w:val="32"/>
          <w:rtl w:val="1"/>
          <w:rFonts w:ascii="Arial" w:hAnsi="Arial" w:cs="Arial"/>
        </w:rPr>
        <w:t>سلم العلاقة المهنية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المرحلة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القيمة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يوثقها</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مصدر أو معرفة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فهم واقع أو فرصة أو ممارسة جيدة.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رابط أو مرجع وتاريخ وحق استعمال.</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حوار أو تشاور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استماع إلى خبرة أو احتياج أو مراجعة.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نطاق تشاور وموافقة على استعمال الملاحظات.</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تجربة مشتركة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عمل صغير يختبر مخرجًا محددًا.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نطاق، أدوار، مخرج، وقرار مراجعة.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اتفاق أو تشغيل</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التزام واضح بمشروع أو خدمة أو تطوير.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اتفاق مكتوب يحدد الحقوق والأدوار والمدة.</w:t>
            </w:r>
          </w:p>
        </w:tc>
      </w:tr>
    </w:tbl>
    <w:p/>
    <w:p>
      <w:pPr>
        <w:spacing w:before="260" w:after="120"/>
        <w:jc w:val="right"/>
        <w:bidi w:val="1"/>
      </w:pPr>
      <w:r>
        <w:rPr>
          <w:b/>
          <w:color w:val="203D4F"/>
          <w:sz w:val="32"/>
          <w:rtl w:val="1"/>
          <w:rFonts w:ascii="Arial" w:hAnsi="Arial" w:cs="Arial"/>
        </w:rPr>
        <w:t>حوكمة تدعم النمو</w:t>
      </w:r>
    </w:p>
    <w:p>
      <w:pPr>
        <w:spacing w:after="140" w:line="300" w:lineRule="auto"/>
        <w:jc w:val="right"/>
        <w:bidi w:val="1"/>
      </w:pPr>
      <w:r>
        <w:rPr>
          <w:b w:val="0"/>
          <w:sz w:val="22"/>
          <w:rtl w:val="1"/>
          <w:rFonts w:ascii="Arial" w:hAnsi="Arial" w:cs="Arial"/>
        </w:rPr>
        <w:t>تخدم الحوكمة نجاح المشروع ولا تؤخره: مالك قرار واضح، حق استعمال معلوم، موافقة عند الحاجة، فصل البيانات بين التطبيقات والمسارات، مراجعة جودة وإتاحة، وتوثيق قرار التوسع أو الإيقاف. تحافظ هذه العناصر على ثقة الكفاءات والشركاء وتمنع أن تتحول الفكرة الجيدة إلى التزام غير قابل للتنفيذ.</w:t>
      </w:r>
    </w:p>
    <w:p>
      <w:pPr>
        <w:spacing w:before="260" w:after="120"/>
        <w:jc w:val="right"/>
        <w:bidi w:val="1"/>
      </w:pPr>
      <w:r>
        <w:rPr>
          <w:b/>
          <w:color w:val="203D4F"/>
          <w:sz w:val="32"/>
          <w:rtl w:val="1"/>
          <w:rFonts w:ascii="Arial" w:hAnsi="Arial" w:cs="Arial"/>
        </w:rPr>
        <w:t>بوابات التوسع</w:t>
      </w:r>
    </w:p>
    <w:p>
      <w:pPr>
        <w:pStyle w:val="ListBullet"/>
        <w:spacing w:after="60" w:line="276" w:lineRule="auto"/>
        <w:jc w:val="right"/>
        <w:bidi w:val="1"/>
      </w:pPr>
      <w:r>
        <w:rPr>
          <w:sz w:val="21"/>
          <w:rtl w:val="1"/>
          <w:rFonts w:ascii="Arial" w:hAnsi="Arial" w:cs="Arial"/>
        </w:rPr>
        <w:t>لا يصبح تطبيق البلاغات خدمة بلدية رسمية إلا بجهة مفوضة وخادم وبيانات تشغيل محكومة.</w:t>
      </w:r>
    </w:p>
    <w:p>
      <w:pPr>
        <w:pStyle w:val="ListBullet"/>
        <w:spacing w:after="60" w:line="276" w:lineRule="auto"/>
        <w:jc w:val="right"/>
        <w:bidi w:val="1"/>
      </w:pPr>
      <w:r>
        <w:rPr>
          <w:sz w:val="21"/>
          <w:rtl w:val="1"/>
          <w:rFonts w:ascii="Arial" w:hAnsi="Arial" w:cs="Arial"/>
        </w:rPr>
        <w:t>لا يفتح مسار مزودي الخدمات أو التجارب للعامة قبل مشغل ومراجع وهوية وسياسة تشغيل.</w:t>
      </w:r>
    </w:p>
    <w:p>
      <w:pPr>
        <w:pStyle w:val="ListBullet"/>
        <w:spacing w:after="60" w:line="276" w:lineRule="auto"/>
        <w:jc w:val="right"/>
        <w:bidi w:val="1"/>
      </w:pPr>
      <w:r>
        <w:rPr>
          <w:sz w:val="21"/>
          <w:rtl w:val="1"/>
          <w:rFonts w:ascii="Arial" w:hAnsi="Arial" w:cs="Arial"/>
        </w:rPr>
        <w:t>لا يصبح المتجر أو الدفع أو التصنيع خدمة تشغيلية إلا بمنتجات ومشغل وحقوق وسياسات مناسبة.</w:t>
      </w:r>
    </w:p>
    <w:p>
      <w:pPr>
        <w:pStyle w:val="ListBullet"/>
        <w:spacing w:after="60" w:line="276" w:lineRule="auto"/>
        <w:jc w:val="right"/>
        <w:bidi w:val="1"/>
      </w:pPr>
      <w:r>
        <w:rPr>
          <w:sz w:val="21"/>
          <w:rtl w:val="1"/>
          <w:rFonts w:ascii="Arial" w:hAnsi="Arial" w:cs="Arial"/>
        </w:rPr>
        <w:t>لا يبدأ مقر أو منشأة أو تسجيل قانوني إلا عندما يتطلبه عقد أو موظفون أو تمويل أو التزام تشغيلي فعلي.</w:t>
      </w:r>
    </w:p>
    <w:p>
      <w:pPr>
        <w:spacing w:before="260" w:after="120"/>
        <w:jc w:val="right"/>
        <w:bidi w:val="1"/>
      </w:pPr>
      <w:r>
        <w:rPr>
          <w:b/>
          <w:color w:val="203D4F"/>
          <w:sz w:val="32"/>
          <w:rtl w:val="1"/>
          <w:rFonts w:ascii="Arial" w:hAnsi="Arial" w:cs="Arial"/>
        </w:rPr>
        <w:t>مصادر المراجعة الداخلية</w:t>
      </w:r>
    </w:p>
    <w:p>
      <w:pPr>
        <w:spacing w:after="140" w:line="300" w:lineRule="auto"/>
        <w:jc w:val="right"/>
        <w:bidi w:val="1"/>
      </w:pPr>
      <w:r>
        <w:rPr>
          <w:b w:val="0"/>
          <w:color w:val="5A6670"/>
          <w:sz w:val="19"/>
          <w:rtl w:val="1"/>
          <w:rFonts w:ascii="Arial" w:hAnsi="Arial" w:cs="Arial"/>
        </w:rPr>
        <w:t>README.md؛ docs/START-HERE.md؛ docs/EXECUTION-STATUS-2026-08-21.md؛ projects/README.md؛ docs/REPOSITORY-AND-PORTAL-REALITY-MAP-2026-08-25.md.</w:t>
      </w:r>
    </w:p>
    <w:p>
      <w:pPr>
        <w:spacing w:after="0" w:line="300" w:lineRule="auto"/>
        <w:jc w:val="center"/>
        <w:bidi w:val="1"/>
      </w:pPr>
      <w:r>
        <w:rPr>
          <w:b w:val="0"/>
          <w:color w:val="5A6670"/>
          <w:sz w:val="18"/>
          <w:rtl w:val="1"/>
          <w:rFonts w:ascii="Arial" w:hAnsi="Arial" w:cs="Arial"/>
        </w:rPr>
        <w:t>SENSE — دليل التنفيذ والحوكمة</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