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37999" cy="737999"/>
            <wp:docPr id="1" name="Picture 1"/>
            <wp:cNvGraphicFramePr>
              <a:graphicFrameLocks noChangeAspect="1"/>
            </wp:cNvGraphicFramePr>
            <a:graphic>
              <a:graphicData uri="http://schemas.openxmlformats.org/drawingml/2006/picture">
                <pic:pic>
                  <pic:nvPicPr>
                    <pic:cNvPr id="0" name="sense-block-monogram-camera-b.png"/>
                    <pic:cNvPicPr/>
                  </pic:nvPicPr>
                  <pic:blipFill>
                    <a:blip r:embed="rId9"/>
                    <a:stretch>
                      <a:fillRect/>
                    </a:stretch>
                  </pic:blipFill>
                  <pic:spPr>
                    <a:xfrm>
                      <a:off x="0" y="0"/>
                      <a:ext cx="737999" cy="737999"/>
                    </a:xfrm>
                    <a:prstGeom prst="rect"/>
                  </pic:spPr>
                </pic:pic>
              </a:graphicData>
            </a:graphic>
          </wp:inline>
        </w:drawing>
      </w:r>
    </w:p>
    <w:p>
      <w:pPr>
        <w:spacing w:after="60" w:line="300" w:lineRule="auto"/>
        <w:jc w:val="center"/>
        <w:bidi w:val="1"/>
      </w:pPr>
      <w:r>
        <w:rPr>
          <w:b/>
          <w:color w:val="203D4F"/>
          <w:sz w:val="40"/>
          <w:rtl w:val="1"/>
          <w:rFonts w:ascii="Arial" w:hAnsi="Arial" w:cs="Arial"/>
        </w:rPr>
        <w:t>مركز SENSE الوطني لتطوير المنظومات والقدرات المحلية</w:t>
      </w:r>
    </w:p>
    <w:p>
      <w:pPr>
        <w:spacing w:after="240" w:line="300" w:lineRule="auto"/>
        <w:jc w:val="center"/>
        <w:bidi w:val="1"/>
      </w:pPr>
      <w:r>
        <w:rPr>
          <w:b/>
          <w:color w:val="714F14"/>
          <w:sz w:val="25"/>
          <w:rtl w:val="1"/>
          <w:rFonts w:ascii="Arial" w:hAnsi="Arial" w:cs="Arial"/>
        </w:rPr>
        <w:t>مبررات الإنشاء والبرامج وخارطة الانطلاق</w:t>
      </w:r>
    </w:p>
    <w:tbl>
      <w:tblPr>
        <w:tblW w:type="auto" w:w="0"/>
        <w:jc w:val="center"/>
        <w:tblLook w:firstColumn="1" w:firstRow="1" w:lastColumn="0" w:lastRow="0" w:noHBand="0" w:noVBand="1" w:val="04A0"/>
      </w:tblPr>
      <w:tblGrid>
        <w:gridCol w:w="9972"/>
      </w:tblGrid>
      <w:tr>
        <w:tc>
          <w:tcPr>
            <w:tcW w:type="dxa" w:w="9972"/>
            <w:shd w:fill="EDF3F5"/>
            <w:vAlign w:val="center"/>
          </w:tcPr>
          <w:p>
            <w:pPr>
              <w:spacing w:after="40" w:line="269" w:lineRule="auto"/>
              <w:jc w:val="right"/>
              <w:bidi w:val="1"/>
            </w:pPr>
            <w:r>
              <w:rPr>
                <w:rtl w:val="1"/>
                <w:rFonts w:ascii="Arial" w:hAnsi="Arial" w:cs="Arial"/>
              </w:rPr>
            </w:r>
            <w:r>
              <w:rPr>
                <w:b/>
                <w:color w:val="203D4F"/>
                <w:sz w:val="21"/>
                <w:rtl w:val="1"/>
                <w:rFonts w:ascii="Arial" w:hAnsi="Arial" w:cs="Arial"/>
              </w:rPr>
              <w:t>وثيقة قرار للفريق والكفاءات والشركاء — صيغة وظيفية قابلة للبناء قبل أي تسجيل قانوني أو تعاقد تشغيلي.</w:t>
            </w:r>
          </w:p>
        </w:tc>
      </w:tr>
    </w:tbl>
    <w:p/>
    <w:p>
      <w:pPr>
        <w:spacing w:before="260" w:after="120"/>
        <w:jc w:val="right"/>
        <w:bidi w:val="1"/>
      </w:pPr>
      <w:r>
        <w:rPr>
          <w:b/>
          <w:color w:val="203D4F"/>
          <w:sz w:val="32"/>
          <w:rtl w:val="1"/>
          <w:rFonts w:ascii="Arial" w:hAnsi="Arial" w:cs="Arial"/>
        </w:rPr>
        <w:t>القرار المقترح: إنشاء ماذا؟</w:t>
      </w:r>
    </w:p>
    <w:p>
      <w:pPr>
        <w:spacing w:after="140" w:line="300" w:lineRule="auto"/>
        <w:jc w:val="right"/>
        <w:bidi w:val="1"/>
      </w:pPr>
      <w:r>
        <w:rPr>
          <w:b w:val="0"/>
          <w:sz w:val="22"/>
          <w:rtl w:val="1"/>
          <w:rFonts w:ascii="Arial" w:hAnsi="Arial" w:cs="Arial"/>
        </w:rPr>
        <w:t>يقترح الفريق إنشاء مركز SENSE الوطني لتطوير المنظومات والقدرات المحلية. المركز منصة بناء وتنسيق تعمل على تحويل حاجة محلية أو معرفة أو مهارة أو مكان أو فكرة مشروع إلى مخرج قابل للاختبار: خدمة، أداة، مسار مهارة، دليل مصدر، بطاقة ذاكرة، تجربة، أو نموذج أولي. يجمع المركز الكفاءات والمبادرين والجهات المحلية حول مشروعات محددة، ويمنح كل مشروع طريقًا من الفكرة إلى المراجعة ثم إلى الشراكة أو التشغيل عند الجاهزية.</w:t>
      </w:r>
    </w:p>
    <w:p>
      <w:pPr>
        <w:spacing w:before="260" w:after="120"/>
        <w:jc w:val="right"/>
        <w:bidi w:val="1"/>
      </w:pPr>
      <w:r>
        <w:rPr>
          <w:b/>
          <w:color w:val="203D4F"/>
          <w:sz w:val="32"/>
          <w:rtl w:val="1"/>
          <w:rFonts w:ascii="Arial" w:hAnsi="Arial" w:cs="Arial"/>
        </w:rPr>
        <w:t>لماذا المركز؟</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الحاجة الوطنية</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استجابة المركز</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المخرج الأول</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تشتت الخبرة والفكرة بين أفراد ومناطق وقطاعات</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منظومة موحدة للمشروعات والمهارات والمصادر، مع فصل بيانات كل منتج وتشغيله.</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محفظة مشروعات ومسارات مشاركة واضحة.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الحاجة إلى قدرة محلية تبقى قابلة للتعلم والعمل في ظروف وصول متقطعة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مسارات مهارة قابلة للنقل، وملفات عمل، وأدلة ومخرجات صغيرة قابلة لإعادة الاستخدام.</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مخرج مهارة أو نموذج عمل لكل مشارك أو فريق.</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ضغط الخدمات والمؤسسات وفقدان المعرفة أو المكان أو الاستمرارية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أرشيف مصدر وذاكرة وإتاحة تربط التاريخ والقرار والمكان بمشروع معرفة أو مهارة أو تصميم.</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بطاقة مصدر أو ذاكرة أو خريطة وصول موثقة.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فجوة بين الأدوات الرقمية والحاجة الفعلية للمجتمع والاقتصاد</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مختبرات تطبيقية لخدمات مدنية، تجارب محلية، تصنيع رقمي، وسياحة واقتصاد محلي.</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ميزة أو تجربة أو نموذج أولي يراجعه مستخدم أو مختص.</w:t>
            </w:r>
          </w:p>
        </w:tc>
      </w:tr>
    </w:tbl>
    <w:p/>
    <w:p>
      <w:pPr>
        <w:spacing w:before="260" w:after="120"/>
        <w:jc w:val="right"/>
        <w:bidi w:val="1"/>
      </w:pPr>
      <w:r>
        <w:rPr>
          <w:b/>
          <w:color w:val="203D4F"/>
          <w:sz w:val="32"/>
          <w:rtl w:val="1"/>
          <w:rFonts w:ascii="Arial" w:hAnsi="Arial" w:cs="Arial"/>
        </w:rPr>
        <w:t>البرامج التي يبدأ بها المركز</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البرنامج</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ما يبنيه</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كيف يشارك الناس</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بوصلة العمل المدعوم بالذكاء الاصطناعي</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بطاقة تحول الحاجة إلى غاية ودور للأداة وتحقق ومخرج قابل للمراجعة.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كفاءة أو فريق يختار حاجة ويخرج بطاقة عمل أو نموذجًا أوليًا.</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منظومات المدن والخدمات</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تطبيقات ورحلات خدمة وأدلة تحقق مثل Urban‑Sense.</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تعاون بين مطورين ومصممي خدمات وجهات محلية ضمن نطاق واضح.</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المهارة والعمل والمبادرة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مسارات قصيرة تنتهي بملف عمل أو دليل أو خدمة أو مواصفة.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مدربون وخبراء ومبادرون يقودون مخرجًا لا عنوان دورة فقط.</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المكان والذاكرة والإتاحة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مصادر، خرائط روابط، بطاقات ذاكرة، ومعايير تصميم أكثر وصولًا.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باحثون ومصممون وأمناء مصادر يعملون على مخرج موثق.</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التجارب والاقتصاد المحلي</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جاهزية تجربة أو منتج أو حرفة أو نموذج صناعة، وفق مشغل وحقوق حقيقية.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مزودون وحرفيون ومصممو منتجات يختبرون فرصة محددة.</w:t>
            </w:r>
          </w:p>
        </w:tc>
      </w:tr>
    </w:tbl>
    <w:p/>
    <w:p>
      <w:pPr>
        <w:spacing w:before="260" w:after="120"/>
        <w:jc w:val="right"/>
        <w:bidi w:val="1"/>
      </w:pPr>
      <w:r>
        <w:rPr>
          <w:b/>
          <w:color w:val="203D4F"/>
          <w:sz w:val="32"/>
          <w:rtl w:val="1"/>
          <w:rFonts w:ascii="Arial" w:hAnsi="Arial" w:cs="Arial"/>
        </w:rPr>
        <w:t>من الخبرة الفردية إلى المشروع الوطني</w:t>
      </w:r>
    </w:p>
    <w:p>
      <w:pPr>
        <w:spacing w:after="140" w:line="300" w:lineRule="auto"/>
        <w:jc w:val="right"/>
        <w:bidi w:val="1"/>
      </w:pPr>
      <w:r>
        <w:rPr>
          <w:b w:val="0"/>
          <w:sz w:val="22"/>
          <w:rtl w:val="1"/>
          <w:rFonts w:ascii="Arial" w:hAnsi="Arial" w:cs="Arial"/>
        </w:rPr>
        <w:t>يبدأ الفرد بحاجة أو مهارة أو فكرة. تستخدم بوصلة العمل لتحديد الغاية ودور الذكاء الاصطناعي وطريقة التحقق. ينتقل المخرج إلى فريق صغير عندما يحتاج أدوارًا متكاملة. ويصبح مشروعًا محليًا عندما يملك نطاقًا ومالكًا ومراجع جودة وسياق استخدام. تتكون المحفظة الوطنية من هذه المشروعات الصغيرة المتقنة، لا من وعود واسعة بلا مشغل أو مخرج.</w:t>
      </w:r>
    </w:p>
    <w:p>
      <w:pPr>
        <w:spacing w:before="260" w:after="120"/>
        <w:jc w:val="right"/>
        <w:bidi w:val="1"/>
      </w:pPr>
      <w:r>
        <w:rPr>
          <w:b/>
          <w:color w:val="203D4F"/>
          <w:sz w:val="32"/>
          <w:rtl w:val="1"/>
          <w:rFonts w:ascii="Arial" w:hAnsi="Arial" w:cs="Arial"/>
        </w:rPr>
        <w:t>قلنديا والأونروا: معنى الاستمرارية في التصميم</w:t>
      </w:r>
    </w:p>
    <w:p>
      <w:pPr>
        <w:spacing w:after="140" w:line="300" w:lineRule="auto"/>
        <w:jc w:val="right"/>
        <w:bidi w:val="1"/>
      </w:pPr>
      <w:r>
        <w:rPr>
          <w:b w:val="0"/>
          <w:sz w:val="22"/>
          <w:rtl w:val="1"/>
          <w:rFonts w:ascii="Arial" w:hAnsi="Arial" w:cs="Arial"/>
        </w:rPr>
        <w:t>يقدّم سياق قلنديا والأونروا درسًا تصميميًا للمركز: عندما تتعرض القدرة المؤسسية للضغط أو التقييد أو فقدان الوصول، تصبح المهارة والمصدر والذاكرة والإتاحة أصولًا يجب أن تبقى قابلة للفعل. يُستخدم مركز تدريب قلنديا بوصفه مصدرًا عامًا وسياقًا للتعلم المهني والذاكرة التعليمية؛ ولا يدّعي SENSE تمثيله أو التسجيل فيه أو تشغيل أي نشاط باسمه. تدعم المنظومة الاستمرارية المدنية من خلال معرفة موثقة، مهارة مستقلة، مخرجات عمل، وروابط رسمية، مع بقاء الخدمات الإنسانية وعمليات مرافق الأمم المتحدة ضمن تفويض الجهات المخولة.</w:t>
      </w:r>
    </w:p>
    <w:p>
      <w:pPr>
        <w:spacing w:before="260" w:after="120"/>
        <w:jc w:val="right"/>
        <w:bidi w:val="1"/>
      </w:pPr>
      <w:r>
        <w:rPr>
          <w:b/>
          <w:color w:val="203D4F"/>
          <w:sz w:val="32"/>
          <w:rtl w:val="1"/>
          <w:rFonts w:ascii="Arial" w:hAnsi="Arial" w:cs="Arial"/>
        </w:rPr>
        <w:t>العلاقة الوطنية والدولية: كيف تتدرج؟</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الحالة</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ما تعنيه</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ما يسمح به المركز</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مصدر عام</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وثيقة أو بيان أو بحث مؤرخ ومتوافر للعامة.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تعلم، توثيق، تحليل، وربط بالمصدر.</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حوار أو تشاور</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لقاء استماع أو مراجعة أو تبادل معرفة.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تصميم فرصة أو تحسين مخرج مع توثيق الموافقة على استعمال الملاحظات.</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اتفاق مكتوب</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نطاق وأدوار وحقوق ومخرج متفق عليها.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تجربة مشتركة أو مشروع أو برنامج محدد.</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تفويض رسمي</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صلاحية مكتوبة من الجهة ذات الاختصاص.</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تشغيل خدمة أو تمثيل نطاق مفوض فقط.</w:t>
            </w:r>
          </w:p>
        </w:tc>
      </w:tr>
    </w:tbl>
    <w:p/>
    <w:p>
      <w:pPr>
        <w:spacing w:before="260" w:after="120"/>
        <w:jc w:val="right"/>
        <w:bidi w:val="1"/>
      </w:pPr>
      <w:r>
        <w:rPr>
          <w:b/>
          <w:color w:val="203D4F"/>
          <w:sz w:val="32"/>
          <w:rtl w:val="1"/>
          <w:rFonts w:ascii="Arial" w:hAnsi="Arial" w:cs="Arial"/>
        </w:rPr>
        <w:t>خارطة الإطلاق: 90 يومًا</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الفترة</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القرار والعمل</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النتيجة المرئية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1–30 يومًا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اعتماد رسالة المركز، تسمية فريق تأسيسي، اختيار مشروعين: بوصلة العمل ومخرج استمرارية محلي.</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صفحة حية، بطاقة مشروع، ومالك لكل مخرج.</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31–60 يومًا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استقطاب كفاءات، بناء مخرجين أوليين، مراجعة مصدر وإتاحة وجودة، وفتح حوار مهني مع جهة أو شبكة مناسبة.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عرض تجريبي قابل للمراجعة وملف مشاركة للكفاءات.</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61–90 يومًا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تجربة محدودة، توثيق تعلم وأثر، وقرار تكرار أو تطوير أو شراكة مكتوبة عند الجاهزية.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محفظة أولية وخطة تشغيل أو اتفاق نطاق.</w:t>
            </w:r>
          </w:p>
        </w:tc>
      </w:tr>
    </w:tbl>
    <w:p/>
    <w:p>
      <w:pPr>
        <w:spacing w:before="260" w:after="120"/>
        <w:jc w:val="right"/>
        <w:bidi w:val="1"/>
      </w:pPr>
      <w:r>
        <w:rPr>
          <w:b/>
          <w:color w:val="203D4F"/>
          <w:sz w:val="32"/>
          <w:rtl w:val="1"/>
          <w:rFonts w:ascii="Arial" w:hAnsi="Arial" w:cs="Arial"/>
        </w:rPr>
        <w:t>الهيكل القانوني والحوكمة</w:t>
      </w:r>
    </w:p>
    <w:p>
      <w:pPr>
        <w:spacing w:after="140" w:line="300" w:lineRule="auto"/>
        <w:jc w:val="right"/>
        <w:bidi w:val="1"/>
      </w:pPr>
      <w:r>
        <w:rPr>
          <w:b w:val="0"/>
          <w:sz w:val="22"/>
          <w:rtl w:val="1"/>
          <w:rFonts w:ascii="Arial" w:hAnsi="Arial" w:cs="Arial"/>
        </w:rPr>
        <w:t>«المركز» هو الوصف الوظيفي الموصى به في مرحلة التأسيس لأنه يسمح بتجميع البرامج والمشروعات والكفاءات من دون الادعاء بكيان قانوني مكتمل قبل الحاجة إليه. يقرر الفريق لاحقًا الشكل القانوني الملائم وفق البلد والنشاط والعقود والموظفين والتمويل والمسؤوليات: جمعية أو شركة غير ربحية أو شركة اجتماعية أو اتحاد/شبكة أو مزيج من هذه الأشكال بعد مشورة قانونية مختصة. يظل المستودع المركزي مصدر العمل التقني، وتبقى البيانات والهويات منفصلة بين المنتجات.</w:t>
      </w:r>
    </w:p>
    <w:p>
      <w:pPr>
        <w:spacing w:before="260" w:after="120"/>
        <w:jc w:val="right"/>
        <w:bidi w:val="1"/>
      </w:pPr>
      <w:r>
        <w:rPr>
          <w:b/>
          <w:color w:val="203D4F"/>
          <w:sz w:val="32"/>
          <w:rtl w:val="1"/>
          <w:rFonts w:ascii="Arial" w:hAnsi="Arial" w:cs="Arial"/>
        </w:rPr>
        <w:t>ملحق حوكمة مختصر</w:t>
      </w:r>
    </w:p>
    <w:p>
      <w:pPr>
        <w:spacing w:after="140" w:line="300" w:lineRule="auto"/>
        <w:jc w:val="right"/>
        <w:bidi w:val="1"/>
      </w:pPr>
      <w:r>
        <w:rPr>
          <w:b w:val="0"/>
          <w:sz w:val="22"/>
          <w:rtl w:val="1"/>
          <w:rFonts w:ascii="Arial" w:hAnsi="Arial" w:cs="Arial"/>
        </w:rPr>
        <w:t>يحمي المركز العمل من الالتباس: لا يسجل مساعدات أو مستفيدين، ولا يدير توزيعًا أو مرافق أو عمليات إنسانية، ولا يستخدم شعارات أو أسماء جهات أممية للدلالة على شراكة. أي بيانات أو تشغيل أو شراكة تتطلب سياسة موافقة ونطاقًا وحقوقًا وأمنًا ومشغلًا واضحًا. هذه الضوابط تحمي الكفاءات والمجتمع والشركاء وتبقي التركيز على بناء القدرة والمخرج.</w:t>
      </w:r>
    </w:p>
    <w:p>
      <w:pPr>
        <w:spacing w:before="260" w:after="120"/>
        <w:jc w:val="right"/>
        <w:bidi w:val="1"/>
      </w:pPr>
      <w:r>
        <w:rPr>
          <w:b/>
          <w:color w:val="203D4F"/>
          <w:sz w:val="32"/>
          <w:rtl w:val="1"/>
          <w:rFonts w:ascii="Arial" w:hAnsi="Arial" w:cs="Arial"/>
        </w:rPr>
        <w:t>المراجع المؤرخة</w:t>
      </w:r>
    </w:p>
    <w:p>
      <w:pPr>
        <w:spacing w:after="140" w:line="300" w:lineRule="auto"/>
        <w:jc w:val="right"/>
        <w:bidi w:val="1"/>
      </w:pPr>
      <w:r>
        <w:rPr>
          <w:b w:val="0"/>
          <w:color w:val="5A6670"/>
          <w:sz w:val="19"/>
          <w:rtl w:val="1"/>
          <w:rFonts w:ascii="Arial" w:hAnsi="Arial" w:cs="Arial"/>
        </w:rPr>
        <w:t>UNRWA Situation Report #232، 12 أغسطس 2026؛ UNRWA Statement on Kalandia Training Centre، 9 أغسطس 2026؛ OCHA oPt Humanitarian Situation Report، 5 يونيو 2026؛ docs/research/INSTITUTIONAL-CONTINUITY-EVIDENCE-2026-08-25.md؛ docs/research/QALANDIA-TRAINING-AND-JERUSALEM-AIRPORT-FACTS-2026-08-25.md.</w:t>
      </w:r>
    </w:p>
    <w:p>
      <w:pPr>
        <w:spacing w:after="0" w:line="300" w:lineRule="auto"/>
        <w:jc w:val="center"/>
        <w:bidi w:val="1"/>
      </w:pPr>
      <w:r>
        <w:rPr>
          <w:b w:val="0"/>
          <w:color w:val="5A6670"/>
          <w:sz w:val="18"/>
          <w:rtl w:val="1"/>
          <w:rFonts w:ascii="Arial" w:hAnsi="Arial" w:cs="Arial"/>
        </w:rPr>
        <w:t>SENSE — مبررات إنشاء مركز وطني لتطوير المنظومات والقدرات المحلية</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