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Calibri"/>
          <w:b/>
          <w:i w:val="0"/>
          <w:color w:val="0B2545"/>
          <w:sz w:val="48"/>
        </w:rPr>
        <w:t>Kernelyra: доказательства производительности</w:t>
      </w:r>
    </w:p>
    <w:p>
      <w:pPr>
        <w:spacing w:after="320"/>
      </w:pPr>
      <w:r>
        <w:rPr>
          <w:rFonts w:ascii="Calibri" w:hAnsi="Calibri" w:eastAsia="Calibri"/>
          <w:b w:val="0"/>
          <w:i w:val="0"/>
          <w:color w:val="5B6573"/>
          <w:sz w:val="25"/>
        </w:rPr>
        <w:t>Технический отчёт о фактических измерениях, ограничениях и честном сравнении с ML-стеками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5B6573"/>
          <w:sz w:val="19"/>
        </w:rPr>
        <w:t>Дата: 20 августа 2026  |  Платформа: Windows 11, CPU-only, 12 логических потоков, 7.7 GiB RAM, без обнаруженного GPU.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Calibri"/>
                <w:b/>
                <w:i w:val="0"/>
                <w:color w:val="9B1C1C"/>
                <w:sz w:val="21"/>
              </w:rPr>
              <w:t xml:space="preserve">Главный вывод.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У Kernelyra уже есть измеримые выигрыши в отдельных нативных путях, но текущие данные НЕ доказывают, что библиотека лучше JAX, TensorFlow, PyTorch или всех других стеков. В прямом тесте против NumPy получено 1.94x, а не целевые 2x; преимущество по дополнительной рабочей памяти не подтверждено.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1. Что именно можно утверждать сейчас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Отчёт отделяет два разных типа фактов: (1) прямое сравнение одного алгоритма с одной реализацией на одинаковых данных; (2) внутренние оптимизации Kernelyra. Только первый тип позволяет говорить о превосходстве над конкретной библиотекой.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780"/>
        <w:gridCol w:w="1840"/>
        <w:gridCol w:w="1840"/>
        <w:gridCol w:w="1800"/>
        <w:gridCol w:w="2100"/>
      </w:tblGrid>
      <w:tr>
        <w:trPr>
          <w:tblHeader w:val="true"/>
        </w:trPr>
        <w:tc>
          <w:tcPr>
            <w:tcW w:type="dxa" w:w="1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Проверка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Kernelyra</w:t>
            </w:r>
          </w:p>
        </w:tc>
        <w:tc>
          <w:tcPr>
            <w:tcW w:type="dxa" w:w="1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База сравнения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Измеренный итог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Допустимый вывод</w:t>
            </w:r>
          </w:p>
        </w:tc>
      </w:tr>
      <w:tr>
        <w:tc>
          <w:tcPr>
            <w:tcW w:type="dxa" w:w="17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Бинарная логистическая регрессия; 4096 x 2048 float32; 40 full-batch шагов; 5 независимых прогонов.</w:t>
            </w:r>
          </w:p>
        </w:tc>
        <w:tc>
          <w:tcPr>
            <w:tcW w:type="dxa" w:w="18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612.09 обновлений/с; accuracy 0.60864; extra working set 126,976 B.</w:t>
            </w:r>
          </w:p>
        </w:tc>
        <w:tc>
          <w:tcPr>
            <w:tcW w:type="dxa" w:w="18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NumPy vectorized: 316.30 обновлений/с; accuracy 0.61255; extra working set 81,920 B.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1.935x быстрее; accuracy -0.391 п.п.; дополнительная память выше на 45,056 B.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Есть ускорение CPU-ядра для этой задачи. Нельзя заявлять 2x или экономию RAM.</w:t>
            </w:r>
          </w:p>
        </w:tc>
      </w:tr>
      <w:tr>
        <w:tc>
          <w:tcPr>
            <w:tcW w:type="dxa" w:w="17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Bulk random updates; 4096 x 28; batch 64; 5000 шагов; 5 прогонов.</w:t>
            </w:r>
          </w:p>
        </w:tc>
        <w:tc>
          <w:tcPr>
            <w:tcW w:type="dxa" w:w="18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Bulk API: 301,462.70 обновлений/с; accuracy 0.99219.</w:t>
            </w:r>
          </w:p>
        </w:tc>
        <w:tc>
          <w:tcPr>
            <w:tcW w:type="dxa" w:w="18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Тот же Kernelyra, вызов по одному шагу: 109,465.00 обновлений/с; accuracy 0.99219.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2.754x; разница accuracy 0.000 п.п.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Подтверждена внутренняя оптимизация dispatch, не победа над внешней библиотекой.</w:t>
            </w:r>
          </w:p>
        </w:tc>
      </w:tr>
      <w:tr>
        <w:tc>
          <w:tcPr>
            <w:tcW w:type="dxa" w:w="17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Multiclass native kernel; 4096 x 512; 3 класса; 30 шагов; 5 прогонов.</w:t>
            </w:r>
          </w:p>
        </w:tc>
        <w:tc>
          <w:tcPr>
            <w:tcW w:type="dxa" w:w="18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OpenMP (8 threads): 585.35 обновлений/с; accuracy 0.39331.</w:t>
            </w:r>
          </w:p>
        </w:tc>
        <w:tc>
          <w:tcPr>
            <w:tcW w:type="dxa" w:w="18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Тот же native kernel, 1 thread: 188.69 обновлений/с; accuracy 0.39331.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3.102x; accuracy совпадает.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Подтверждён выигрыш от OpenMP в этом ядре; не сравнение с JAX/TF/PyTorch.</w:t>
            </w:r>
          </w:p>
        </w:tc>
      </w:tr>
      <w:tr>
        <w:tc>
          <w:tcPr>
            <w:tcW w:type="dxa" w:w="17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Hugging Face parquet I/O + policy; один доступный shard 345,319,824 B.</w:t>
            </w:r>
          </w:p>
        </w:tc>
        <w:tc>
          <w:tcPr>
            <w:tcW w:type="dxa" w:w="18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Rust variable policy: 979.56 MiB/с.</w:t>
            </w:r>
          </w:p>
        </w:tc>
        <w:tc>
          <w:tcPr>
            <w:tcW w:type="dxa" w:w="184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Python fixed 4 MiB chunks: 1,027.32 MiB/с.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0.954x от baseline.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В этом I/O тесте выигрыша нет; оптимизацию нельзя считать доказанной.</w:t>
            </w:r>
          </w:p>
        </w:tc>
      </w:tr>
    </w:tbl>
    <w:p>
      <w:pPr>
        <w:spacing w:before="80" w:after="160" w:line="240" w:lineRule="auto"/>
      </w:pPr>
      <w:r>
        <w:rPr>
          <w:rFonts w:ascii="Calibri" w:hAnsi="Calibri" w:eastAsia="Calibri"/>
          <w:b w:val="0"/>
          <w:i/>
          <w:color w:val="5B6573"/>
          <w:sz w:val="17"/>
        </w:rPr>
        <w:t>Воспроизводимые источники: scripts/benchmark_native_vs_numpy.py; scripts/benchmark_native_bulk_steps.py; scripts/benchmark_native_multiclass.py; .benchmarks/hf-higgs-5g/partial-report.json. Команды и значения приведены без округления до вывода в таблице.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2. Проверка жизнеспособности на HIGGS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Это не benchmark против другой библиотеки, а проверка того, что нативный путь обучается, сохраняет checkpoint и проходит hold-out оценку. CSV содержит 98,050 записей (без заголовка). Запуск выполнен как binary classification, native linear backend, float32, лимиты CPU 80% и RAM 50%, 8,000 шагов.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050"/>
        <w:gridCol w:w="1900"/>
        <w:gridCol w:w="5410"/>
      </w:tblGrid>
      <w:tr>
        <w:trPr>
          <w:tblHeader w:val="true"/>
        </w:trP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Показатель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Значение</w:t>
            </w:r>
          </w:p>
        </w:tc>
        <w:tc>
          <w:tcPr>
            <w:tcW w:type="dxa" w:w="54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Интерпретация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Статус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completed; termination_reason = max_steps</w:t>
            </w:r>
          </w:p>
        </w:tc>
        <w:tc>
          <w:tcPr>
            <w:tcW w:type="dxa" w:w="5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Без аварийной деградации; предел шагов достигнут раньше целевой метрики.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Best validation score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0.63652 на шаге 7000</w:t>
            </w:r>
          </w:p>
        </w:tc>
        <w:tc>
          <w:tcPr>
            <w:tcW w:type="dxa" w:w="5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Лучшая сохранённая checkpoint-модель.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Hold-out accuracy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0.62911</w:t>
            </w:r>
          </w:p>
        </w:tc>
        <w:tc>
          <w:tcPr>
            <w:tcW w:type="dxa" w:w="5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Качество на test split конкретного небольшого HIGGS CSV.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Hold-out ROC-AUC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0.67389</w:t>
            </w:r>
          </w:p>
        </w:tc>
        <w:tc>
          <w:tcPr>
            <w:tcW w:type="dxa" w:w="5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Есть работоспособная вероятностная модель; это не SOTA-сравнение.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Model Guard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stable; degradation_streak = 0</w:t>
            </w:r>
          </w:p>
        </w:tc>
        <w:tc>
          <w:tcPr>
            <w:tcW w:type="dxa" w:w="54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Защитная политика не обнаружила серии ухудшений.</w:t>
            </w:r>
          </w:p>
        </w:tc>
      </w:tr>
    </w:tbl>
    <w:p>
      <w:pPr>
        <w:spacing w:before="80" w:after="160" w:line="240" w:lineRule="auto"/>
      </w:pPr>
      <w:r>
        <w:rPr>
          <w:rFonts w:ascii="Calibri" w:hAnsi="Calibri" w:eastAsia="Calibri"/>
          <w:b w:val="0"/>
          <w:i/>
          <w:color w:val="5B6573"/>
          <w:sz w:val="17"/>
        </w:rPr>
        <w:t>Источник: .benchmarks/flat-higgs/workspace-avx2/.kernelyra/runs.sqlite3, run 334e72b183; checkpoint 334e72b183.npz.json. Dataset: .benchmarks/flat-higgs/higgs.csv.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3. Статус сравнения с внешними библиотеками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Фраза «лучше всех библиотек» возможна только после симметричных измерений: одинаковая задача, модель, dtype, seed, data split, warm-up, версия пакета, устройство и критерий качества. Ниже - текущая матрица доказательств, а не прогноз.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360"/>
        <w:gridCol w:w="1800"/>
        <w:gridCol w:w="3350"/>
        <w:gridCol w:w="2850"/>
      </w:tblGrid>
      <w:tr>
        <w:trPr>
          <w:tblHeader w:val="true"/>
        </w:trPr>
        <w:tc>
          <w:tcPr>
            <w:tcW w:type="dxa" w:w="1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Стек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Прямой замер в этом отчёте</w:t>
            </w:r>
          </w:p>
        </w:tc>
        <w:tc>
          <w:tcPr>
            <w:tcW w:type="dxa" w:w="33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Что требуется для корректного сравнения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Статус вывода</w:t>
            </w:r>
          </w:p>
        </w:tc>
      </w:tr>
      <w:tr>
        <w:tc>
          <w:tcPr>
            <w:tcW w:type="dxa" w:w="1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NumPy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Да: vectorized logistic regression на CPU.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Повторить не менее 10 раз; зафиксировать BLAS/CPU affinity; измерять пик RSS отдельно от рабочих массивов.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Kernelyra быстрее в одном узком тесте (1.94x), но не 2x и не лучше по памяти.</w:t>
            </w:r>
          </w:p>
        </w:tc>
      </w:tr>
      <w:tr>
        <w:tc>
          <w:tcPr>
            <w:tcW w:type="dxa" w:w="1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JAX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Нет.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Отдельно cold compile, warm JIT runtime, device transfer и block_until_ready(); float32 и одна целевая функция.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Никакого заявления о превосходстве пока делать нельзя.</w:t>
            </w:r>
          </w:p>
        </w:tc>
      </w:tr>
      <w:tr>
        <w:tc>
          <w:tcPr>
            <w:tcW w:type="dxa" w:w="1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TensorFlow / Keras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Нет.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Eager и tf.function/XLA режимы; tf.data pipeline; одинаковая архитектура, precision и GPU memory policy.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Никакого заявления о превосходстве пока делать нельзя.</w:t>
            </w:r>
          </w:p>
        </w:tc>
      </w:tr>
      <w:tr>
        <w:tc>
          <w:tcPr>
            <w:tcW w:type="dxa" w:w="1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PyTorch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Нет.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Eager и torch.compile; DataLoader warm-up; CPU OpenMP/GPU CUDA events; одинаковые optimizer и batch.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Никакого заявления о превосходстве пока делать нельзя.</w:t>
            </w:r>
          </w:p>
        </w:tc>
      </w:tr>
      <w:tr>
        <w:tc>
          <w:tcPr>
            <w:tcW w:type="dxa" w:w="1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scikit-learn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Нет.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Сопоставлять только идентичные линейные/SGD модели и критерии качества; это CPU baseline, не общий DL-стек.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Не измерено.</w:t>
            </w:r>
          </w:p>
        </w:tc>
      </w:tr>
      <w:tr>
        <w:tc>
          <w:tcPr>
            <w:tcW w:type="dxa" w:w="1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XGBoost / LightGBM</w:t>
            </w:r>
          </w:p>
        </w:tc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Нет и не является прямым аналогом.</w:t>
            </w:r>
          </w:p>
        </w:tc>
        <w:tc>
          <w:tcPr>
            <w:tcW w:type="dxa" w:w="33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Только на одинаковой табличной задаче, но деревья и линейные модели решают задачу по-разному.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Сравнение возможно по outcome, но не по одному step/s.</w:t>
            </w:r>
          </w:p>
        </w:tc>
      </w:tr>
    </w:tbl>
    <w:p>
      <w:pPr>
        <w:spacing w:before="80" w:after="160" w:line="240" w:lineRule="auto"/>
      </w:pPr>
      <w:r>
        <w:rPr>
          <w:rFonts w:ascii="Calibri" w:hAnsi="Calibri" w:eastAsia="Calibri"/>
          <w:b w:val="0"/>
          <w:i/>
          <w:color w:val="5B6573"/>
          <w:sz w:val="17"/>
        </w:rPr>
        <w:t>Методологические источники: JAX Benchmarking (https://docs.jax.dev/en/latest/benchmarking.html); TensorFlow Profiler guide (https://www.tensorflow.org/guide/profiler); PyTorch Performance Tuning Guide (https://docs.pytorch.org/tutorials/recipes/recipes/tuning_guide.html); NumPy performant code guide (https://numpy.org/doc/stable/user/basics.performant_code.html). Проверено 20.08.2026.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4. Почему универсальное сравнение сейчас недействительно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JAX может выиграть на скомпилированных GPU-вычислениях, но имеет отдельную стоимость JIT-компиляции и асинхронный dispatch; измерение без block_until_ready недостоверно. TensorFlow и PyTorch меняют результат в зависимости от графовой компиляции, data pipeline, CUDA kernels и mixed precision. NumPy использует векторизацию и может опираться на разные BLAS/SIMD-сборки. Поэтому цифра из CPU logistic-regression benchmark не переносится автоматически на LLM, CNN, GPU или distributed training.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 w:val="clear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Calibri"/>
                <w:b/>
                <w:i w:val="0"/>
                <w:color w:val="7A5A00"/>
                <w:sz w:val="21"/>
              </w:rPr>
              <w:t xml:space="preserve">Запрещённая формулировка до завершения матрицы.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1"/>
              </w:rPr>
              <w:t>«Kernelyra быстрее JAX, TensorFlow и PyTorch во всех задачах». Текущие данные этого не поддерживают. Корректная формулировка: «Kernelyra показала 1.94x ускорение относительно NumPy в воспроизводимом CPU microbenchmark и отдельные внутренние ускорения до 3.10x».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5. Ворота для будущего заявления «лучше»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00"/>
        <w:gridCol w:w="4750"/>
        <w:gridCol w:w="281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Гейт</w:t>
            </w:r>
          </w:p>
        </w:tc>
        <w:tc>
          <w:tcPr>
            <w:tcW w:type="dxa" w:w="47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Критерий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Текущий статус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Скорость</w:t>
            </w:r>
          </w:p>
        </w:tc>
        <w:tc>
          <w:tcPr>
            <w:tcW w:type="dxa" w:w="4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Медиана &gt;= 2.0x в 10 прогонов на одной задаче; отдельно считать compile, transfer и training runtime.</w:t>
            </w:r>
          </w:p>
        </w:tc>
        <w:tc>
          <w:tcPr>
            <w:tcW w:type="dxa" w:w="28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Не пройден для NumPy: 1.935x в текущем прогоне.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Качество</w:t>
            </w:r>
          </w:p>
        </w:tc>
        <w:tc>
          <w:tcPr>
            <w:tcW w:type="dxa" w:w="4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Разница primary metric не хуже заранее заданного допуска; evaluation only on the same held-out split.</w:t>
            </w:r>
          </w:p>
        </w:tc>
        <w:tc>
          <w:tcPr>
            <w:tcW w:type="dxa" w:w="28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Пройден для CPU NumPy microbenchmark: -0.391 п.п. в пределах исходного допуска 1 п.п.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Память</w:t>
            </w:r>
          </w:p>
        </w:tc>
        <w:tc>
          <w:tcPr>
            <w:tcW w:type="dxa" w:w="4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Пиковый RSS/VRAM ниже или равен, измерен внешним профилировщиком с одинаковыми входными данными.</w:t>
            </w:r>
          </w:p>
        </w:tc>
        <w:tc>
          <w:tcPr>
            <w:tcW w:type="dxa" w:w="28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Не пройден для CPU NumPy microbenchmark: extra working set выше.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Репродуцируемость</w:t>
            </w:r>
          </w:p>
        </w:tc>
        <w:tc>
          <w:tcPr>
            <w:tcW w:type="dxa" w:w="4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Зафиксированные версии, seed, hardware manifest, 10+ независимых прогонов, опубликованные raw JSON результаты.</w:t>
            </w:r>
          </w:p>
        </w:tc>
        <w:tc>
          <w:tcPr>
            <w:tcW w:type="dxa" w:w="28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Частично: есть скрипты, seed и hardware manifest; raw matrix для внешних стеков отсутствует.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Область применения</w:t>
            </w:r>
          </w:p>
        </w:tc>
        <w:tc>
          <w:tcPr>
            <w:tcW w:type="dxa" w:w="47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Отдельные результаты для tabular CPU, tabular GPU, vision, transformer/LLM и streaming I/O.</w:t>
            </w:r>
          </w:p>
        </w:tc>
        <w:tc>
          <w:tcPr>
            <w:tcW w:type="dxa" w:w="281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Не пройден: измерены только узкие tabular/streaming сценарии.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6. Следующий воспроизводимый эксперимент</w:t>
      </w:r>
    </w:p>
    <w:p>
      <w:pPr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000000"/>
          <w:sz w:val="22"/>
        </w:rPr>
        <w:t>Первым нужно закрыть не «все библиотеки», а одну честную матрицу: CPU logistic regression и MLP, затем GPU MLP. Для каждого стека фиксируются версии, same float32 data, same parameter count, same optimizer, 10 warm runs и 10 measured runs. Для JAX измеряются cold compile и warm runtime раздельно; для GPU перед записью времени вызывается синхронизация; для TensorFlow и PyTorch отдельно публикуются eager и compiled результаты. Решение о заявлении принимается только после публикации JSON-логов и quality gates.</w:t>
      </w:r>
    </w:p>
    <w:p>
      <w:pPr>
        <w:pStyle w:val="Heading1"/>
        <w:keepNext/>
      </w:pPr>
      <w:r>
        <w:rPr>
          <w:rFonts w:ascii="Calibri" w:hAnsi="Calibri" w:eastAsia="Calibri"/>
          <w:b/>
          <w:i w:val="0"/>
          <w:color w:val="2E74B5"/>
          <w:sz w:val="32"/>
        </w:rPr>
        <w:t>7. Воспроизведение текущих чисел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Цель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Команда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NumPy vs native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PYTHONPATH=src python scripts/benchmark_native_vs_numpy.py --runs 5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Bulk API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PYTHONPATH=src python scripts/benchmark_native_bulk_steps.py --runs 5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OpenMP multiclass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PYTHONPATH=src python scripts/benchmark_native_multiclass.py --runs 5</w:t>
            </w:r>
          </w:p>
        </w:tc>
      </w:tr>
      <w:tr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HIGGS run</w:t>
            </w:r>
          </w:p>
        </w:tc>
        <w:tc>
          <w:tcPr>
            <w:tcW w:type="dxa" w:w="7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PYTHONPATH=src python examples/guarded_higgs_training.py .benchmarks/flat-higgs/higgs.csv --workspace &lt;new-workspace&gt;</w:t>
            </w:r>
          </w:p>
        </w:tc>
      </w:tr>
    </w:tbl>
    <w:p>
      <w:pPr>
        <w:spacing w:before="80" w:after="160" w:line="240" w:lineRule="auto"/>
      </w:pPr>
      <w:r>
        <w:rPr>
          <w:rFonts w:ascii="Calibri" w:hAnsi="Calibri" w:eastAsia="Calibri"/>
          <w:b w:val="0"/>
          <w:i/>
          <w:color w:val="5B6573"/>
          <w:sz w:val="17"/>
        </w:rPr>
        <w:t>Примечание: у PowerShell задайте переменную окружения так: $env:PYTHONPATH='src'. Для источника HIGGS результат зависит от доступного CSV; входной файл из текущего workspace не включён в итоговый документ.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b w:val="0"/>
        <w:i w:val="0"/>
        <w:color w:val="5B6573"/>
        <w:sz w:val="17"/>
      </w:rPr>
      <w:t xml:space="preserve">Internal benchmark evidence  |  Page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i w:val="0"/>
        <w:color w:val="5B6573"/>
        <w:sz w:val="17"/>
      </w:rPr>
      <w:t>KERNELYRA  |  TECHNICAL EVIDENCE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Kernelyra Benchmark Evidence Report</dc:title>
  <dc:subject>Measured performance evidence, scope and comparison gates</dc:subject>
  <dc:creator>Kernelyra benchmark harness</dc:creator>
  <cp:keywords/>
  <dc:description>Generated from reproducible local benchmark scripts.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