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A5974" w:rsidRDefault="00000000">
      <w:pPr>
        <w:spacing w:after="0" w:line="240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 xml:space="preserve">Regulamin ……………….. </w:t>
      </w:r>
    </w:p>
    <w:p w14:paraId="00000002" w14:textId="77777777" w:rsidR="002A5974" w:rsidRDefault="002A5974">
      <w:pPr>
        <w:spacing w:after="0" w:line="240" w:lineRule="auto"/>
        <w:jc w:val="center"/>
        <w:rPr>
          <w:rFonts w:ascii="Calibri" w:eastAsia="Calibri" w:hAnsi="Calibri" w:cs="Calibri"/>
          <w:b/>
          <w:sz w:val="22"/>
          <w:szCs w:val="22"/>
        </w:rPr>
      </w:pPr>
    </w:p>
    <w:p w14:paraId="00000003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I. Postanowienia ogólne</w:t>
      </w:r>
    </w:p>
    <w:p w14:paraId="00000004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Niniejszy regulamin (zwany dalej „Regulaminem) dotyczy organizacji ……………….(zwanego dalej „Wydarzenie”) organizowanego w terminie ………………… na terenie Politechniki Wrocławskiej przez …………………….</w:t>
      </w:r>
      <w:r>
        <w:rPr>
          <w:rFonts w:ascii="Calibri" w:eastAsia="Calibri" w:hAnsi="Calibri" w:cs="Calibri"/>
          <w:sz w:val="22"/>
          <w:szCs w:val="22"/>
        </w:rPr>
        <w:t xml:space="preserve"> (zwanego dalej jako ,,Organizator”).</w:t>
      </w:r>
    </w:p>
    <w:p w14:paraId="00000005" w14:textId="77777777" w:rsidR="002A5974" w:rsidRDefault="00000000">
      <w:pPr>
        <w:numPr>
          <w:ilvl w:val="0"/>
          <w:numId w:val="3"/>
        </w:numP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Celem niniejszego Regulaminu jest zapewnienie bezpiecznego przebiegu  Wydarzenia poprzez określenie zasad zachowania się osób obecnych na Wydarzeniu i korzystania przez nie z terenu, na którym jest organizowane.</w:t>
      </w:r>
    </w:p>
    <w:p w14:paraId="00000006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Wydarzenie ma charakter zamknięty i nie stanowi imprezy masowej w rozumieniu Ustawy z dnia 23 marca 2009 roku o bezpieczeństwie imprez masowych.</w:t>
      </w:r>
    </w:p>
    <w:p w14:paraId="00000007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Tematyka Wydarzenia dotyczy …………………..</w:t>
      </w:r>
    </w:p>
    <w:p w14:paraId="00000008" w14:textId="77777777" w:rsidR="002A5974" w:rsidRDefault="00000000">
      <w:pPr>
        <w:numPr>
          <w:ilvl w:val="0"/>
          <w:numId w:val="3"/>
        </w:numPr>
        <w:spacing w:after="0" w:line="240" w:lineRule="auto"/>
        <w:ind w:hanging="436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Wydarzenia jest adresowane do ……………………….. . Chętni do udziału w Wydarzeniu uzyskują status Uczestnika po wypełnieniu formularza zgłoszeniowego i jego akceptacji przez Organizatora.</w:t>
      </w:r>
    </w:p>
    <w:p w14:paraId="00000009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Status Uczestnika przysługuje również wszystkim zaproszonym na Wydarzenie </w:t>
      </w:r>
      <w:r>
        <w:rPr>
          <w:rFonts w:ascii="Calibri" w:eastAsia="Calibri" w:hAnsi="Calibri" w:cs="Calibri"/>
          <w:i/>
          <w:sz w:val="22"/>
          <w:szCs w:val="22"/>
        </w:rPr>
        <w:t xml:space="preserve">………………. </w:t>
      </w:r>
      <w:r>
        <w:rPr>
          <w:rFonts w:ascii="Calibri" w:eastAsia="Calibri" w:hAnsi="Calibri" w:cs="Calibri"/>
          <w:sz w:val="22"/>
          <w:szCs w:val="22"/>
        </w:rPr>
        <w:t xml:space="preserve">biorącym udział w Wydarzeniu jako prelegenci. </w:t>
      </w:r>
    </w:p>
    <w:p w14:paraId="0000000A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Uczestnicy otrzymują certyfikat uczestnictwa w Wydarzeniu.</w:t>
      </w:r>
    </w:p>
    <w:p w14:paraId="0000000B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Wydarzeniu mogą brać udział także przedstawiciele patronów medialnych, po wcześniejszym poinformowaniu 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rganizatora, przy czym nie są oni </w:t>
      </w:r>
      <w:r>
        <w:rPr>
          <w:rFonts w:ascii="Calibri" w:eastAsia="Calibri" w:hAnsi="Calibri" w:cs="Calibri"/>
          <w:sz w:val="22"/>
          <w:szCs w:val="22"/>
        </w:rPr>
        <w:t>definiowani jako Uczestnicy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.  </w:t>
      </w:r>
    </w:p>
    <w:p w14:paraId="0000000C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Oficjalnym serwisem internetowym do rejestracji Uczestników Wydarzenia jest </w:t>
      </w:r>
      <w:proofErr w:type="spellStart"/>
      <w:r>
        <w:rPr>
          <w:rFonts w:ascii="Calibri" w:eastAsia="Calibri" w:hAnsi="Calibri" w:cs="Calibri"/>
          <w:sz w:val="22"/>
          <w:szCs w:val="22"/>
        </w:rPr>
        <w:t>Eventownik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Solvro</w:t>
      </w:r>
      <w:proofErr w:type="spellEnd"/>
      <w:r>
        <w:rPr>
          <w:rFonts w:ascii="Calibri" w:eastAsia="Calibri" w:hAnsi="Calibri" w:cs="Calibri"/>
          <w:sz w:val="22"/>
          <w:szCs w:val="22"/>
        </w:rPr>
        <w:t xml:space="preserve"> dostępny na https://eventownik.solvro.pl/</w:t>
      </w:r>
      <w:sdt>
        <w:sdtPr>
          <w:tag w:val="goog_rdk_0"/>
          <w:id w:val="2010374819"/>
        </w:sdtPr>
        <w:sdtContent/>
      </w:sdt>
      <w:r>
        <w:rPr>
          <w:rFonts w:ascii="Calibri" w:eastAsia="Calibri" w:hAnsi="Calibri" w:cs="Calibri"/>
          <w:sz w:val="22"/>
          <w:szCs w:val="22"/>
        </w:rPr>
        <w:t xml:space="preserve">…………… </w:t>
      </w:r>
    </w:p>
    <w:p w14:paraId="0000000D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Udział w Wydarzeniu jest płatny/bezpłatny (niepotrzebne skreślić) , opłata  wynosi  …………… zł.</w:t>
      </w:r>
    </w:p>
    <w:p w14:paraId="0000000E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Opłatę  należy uiścić po zatwierdzeniu abstraktu przez Organizatora w serwisie  ……………  </w:t>
      </w:r>
    </w:p>
    <w:p w14:paraId="0000000F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Uczestnik ma prawo do rezygnacji z udziału w Wydarzeniu i ubiegania się o zwrot opłaty, zgodnie z poniższymi zasadami:</w:t>
      </w:r>
    </w:p>
    <w:p w14:paraId="00000010" w14:textId="77777777" w:rsidR="002A597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zgłoszonej do dnia …………….. (włącznie) – zwrot pełnej kwoty opłaty ;</w:t>
      </w:r>
    </w:p>
    <w:p w14:paraId="00000011" w14:textId="77777777" w:rsidR="002A597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zgłoszonej po dniu …………. – opłata   nie podlega zwrotowi.</w:t>
      </w:r>
    </w:p>
    <w:p w14:paraId="00000012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W przypadku rezygnacji z udziału w Wydarzeniu</w:t>
      </w:r>
      <w:r>
        <w:rPr>
          <w:rFonts w:ascii="Calibri" w:eastAsia="Calibri" w:hAnsi="Calibri" w:cs="Calibri"/>
          <w:i/>
          <w:color w:val="000000"/>
          <w:sz w:val="22"/>
          <w:szCs w:val="22"/>
        </w:rPr>
        <w:t xml:space="preserve"> </w:t>
      </w:r>
      <w:r>
        <w:rPr>
          <w:rFonts w:ascii="Calibri" w:eastAsia="Calibri" w:hAnsi="Calibri" w:cs="Calibri"/>
          <w:color w:val="000000"/>
          <w:sz w:val="22"/>
          <w:szCs w:val="22"/>
        </w:rPr>
        <w:t>istnieje możliwość przeniesienia opłaty  na inną osobę wskazaną przez Uczestnika, pod warunkiem zgłoszenia tego faktu Organizatorowi nie później niż do dnia ………………. włącznie.</w:t>
      </w:r>
    </w:p>
    <w:p w14:paraId="00000013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ramach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odbędą się</w:t>
      </w:r>
      <w:r>
        <w:rPr>
          <w:rFonts w:ascii="Calibri" w:eastAsia="Calibri" w:hAnsi="Calibri" w:cs="Calibri"/>
          <w:sz w:val="22"/>
          <w:szCs w:val="22"/>
        </w:rPr>
        <w:t xml:space="preserve"> ……………………………………...</w:t>
      </w:r>
    </w:p>
    <w:p w14:paraId="00000014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ma prawo do odmówienia wstępu oraz przebywania na Wydarzeniu osobom będącym w stanie nietrzeźwym lub pod wpływem środków odurzających, a także łamiącym postanowienia niniejszego Regulaminu. </w:t>
      </w:r>
    </w:p>
    <w:p w14:paraId="00000015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Organizator lub w jego imieniu pracownicy administracji Politechniki Wrocławskiej mają prawo odmówić osobie wejścia na teren Wydarzenia, jeżeli stwierdzi się, że osoba zakłóca ład i porządek publiczny w szczególności w sposób określony w pkt. 15.</w:t>
      </w:r>
    </w:p>
    <w:p w14:paraId="00000016" w14:textId="77777777" w:rsidR="002A597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  <w:sectPr w:rsidR="002A5974">
          <w:pgSz w:w="11910" w:h="16840"/>
          <w:pgMar w:top="1440" w:right="1080" w:bottom="1440" w:left="1080" w:header="708" w:footer="708" w:gutter="0"/>
          <w:pgNumType w:start="1"/>
          <w:cols w:space="708"/>
        </w:sectPr>
      </w:pPr>
      <w:r>
        <w:rPr>
          <w:rFonts w:ascii="Calibri" w:eastAsia="Calibri" w:hAnsi="Calibri" w:cs="Calibri"/>
          <w:color w:val="000000"/>
          <w:sz w:val="22"/>
          <w:szCs w:val="22"/>
        </w:rPr>
        <w:t>Udział w Wydarzeniu jest równoznaczny z akceptacją przez Uczestnika niniejszego Regulaminu. Uczestnik wydarzenia przyjmuje tym samym do wiadomości, że w przypadku niestosowania się do Regulaminu będzie pozbawiony prawa do uczestnictwa w Wydarzeniu.</w:t>
      </w:r>
    </w:p>
    <w:p w14:paraId="00000017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II. Zasady organizacyjne i porządkowe na terenie organizacji Wydarzenia</w:t>
      </w:r>
    </w:p>
    <w:p w14:paraId="00000018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Podczas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wszystkich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czestników </w:t>
      </w:r>
      <w:r>
        <w:rPr>
          <w:rFonts w:ascii="Calibri" w:eastAsia="Calibri" w:hAnsi="Calibri" w:cs="Calibri"/>
          <w:sz w:val="22"/>
          <w:szCs w:val="22"/>
        </w:rPr>
        <w:t xml:space="preserve">wydarzenia </w:t>
      </w:r>
      <w:r>
        <w:rPr>
          <w:rFonts w:ascii="Calibri" w:eastAsia="Calibri" w:hAnsi="Calibri" w:cs="Calibri"/>
          <w:color w:val="000000"/>
          <w:sz w:val="22"/>
          <w:szCs w:val="22"/>
        </w:rPr>
        <w:t>obowiązuje zakaz wnoszenia i dystrybucji alkoholu czy innych substancji odurzających; przypomina się też, że na terenie Wydarzenia  obowiązuje zakaz palenia papierosów (w tym e-papierosów).</w:t>
      </w:r>
    </w:p>
    <w:p w14:paraId="00000019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W przypadku spowodowania szkody przez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czestnika, zostaje sporządzony protokół incydentu, w którym to zobowiązuje się on do ich naprawienia lub pokrycia kosztów ich naprawienia. W przypadku umyślnego spowodowania szkody, po spisaniu protokołu nastąpi natychmiastowe usunięcie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>czestnika z Wydarzenia.</w:t>
      </w:r>
    </w:p>
    <w:p w14:paraId="0000001A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 xml:space="preserve">Na terenie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zabronione jest prowadzenie sprzedaży, reklamy, akwizycji oraz przeprowadzanie zbiórek pieniężnych.</w:t>
      </w:r>
    </w:p>
    <w:p w14:paraId="0000001B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Zabrania się wywieszania oraz eksponowania na terenie Wydarzenia banerów oraz transparentów zawierających treści wulgarne lub nawołujące do nienawiści, agresji itp.</w:t>
      </w:r>
    </w:p>
    <w:p w14:paraId="0000001C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Fakt zaistnienia w trakcie Wydarzenia wypadku, w szczególności złego samopoczucia, nabawienia się kontuzji, skaleczenia lub poparzenia należy bezwzględnie zgłosić Organizator</w:t>
      </w:r>
      <w:r>
        <w:rPr>
          <w:rFonts w:ascii="Calibri" w:eastAsia="Calibri" w:hAnsi="Calibri" w:cs="Calibri"/>
          <w:sz w:val="22"/>
          <w:szCs w:val="22"/>
        </w:rPr>
        <w:t xml:space="preserve">owi Wydarzenia.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</w:t>
      </w:r>
    </w:p>
    <w:p w14:paraId="0000001D" w14:textId="77777777" w:rsidR="002A597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Apteczka pierwszej pomocy będzie dostępna na portierni w budynku …………..</w:t>
      </w:r>
    </w:p>
    <w:p w14:paraId="0000001E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0000001F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III. Prawa i obowiązki Uczestników Wydarzenia</w:t>
      </w:r>
    </w:p>
    <w:p w14:paraId="00000020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Uczestnicy dokonują rejestracji przez usługę ………………….. Informacja o adresie internetowym do rejestracji będzie też dostępna na oficjalnej stronie ……………… . Po przesłaniu formularzy rejestracyjnych nastąpi proces akceptacji zgłoszeń , które zyskają status Uczestników, którzy wezmą udział w Wydarzeniu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14:paraId="00000021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Niekompletne formularze zgłoszeniowe nie będą rozpatrywane przez Organizatora Wydarzenia. </w:t>
      </w:r>
    </w:p>
    <w:p w14:paraId="00000022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Uczestnik zobowiązany jest do rejestracji w dniu rozpoczęcia Wydarzenia by potwierdzić swoją obecność.</w:t>
      </w:r>
    </w:p>
    <w:p w14:paraId="00000023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Organizator na terenie Politechniki Wrocławskiej zapewnia dla Wydarzenia wyżywienie podczas przerw lunchowych oraz przerw kawowych.</w:t>
      </w:r>
    </w:p>
    <w:p w14:paraId="00000024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nie ponosi odpowiedzialności za rzeczy należące do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>czestnik</w:t>
      </w:r>
      <w:r>
        <w:rPr>
          <w:rFonts w:ascii="Calibri" w:eastAsia="Calibri" w:hAnsi="Calibri" w:cs="Calibri"/>
          <w:sz w:val="22"/>
          <w:szCs w:val="22"/>
        </w:rPr>
        <w:t>ów Wydarzenia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, które mogą zostać zgubione, zniszczone lub skradzione podczas </w:t>
      </w:r>
      <w:r>
        <w:rPr>
          <w:rFonts w:ascii="Calibri" w:eastAsia="Calibri" w:hAnsi="Calibri" w:cs="Calibri"/>
          <w:sz w:val="22"/>
          <w:szCs w:val="22"/>
        </w:rPr>
        <w:t>Wydarzenia</w:t>
      </w:r>
      <w:r>
        <w:rPr>
          <w:rFonts w:ascii="Calibri" w:eastAsia="Calibri" w:hAnsi="Calibri" w:cs="Calibri"/>
          <w:color w:val="000000"/>
          <w:sz w:val="22"/>
          <w:szCs w:val="22"/>
        </w:rPr>
        <w:t>.</w:t>
      </w:r>
    </w:p>
    <w:p w14:paraId="00000025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nie ponosi odpowiedzialności za niewłaściwe zachowania Uczestników. </w:t>
      </w:r>
    </w:p>
    <w:p w14:paraId="00000026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color w:val="000000"/>
          <w:sz w:val="22"/>
          <w:szCs w:val="22"/>
        </w:rPr>
        <w:t>Uczestnik Wydarzenia ponosi pełną odpowiedzialność materialną za szkody wyrządzone przez niego na terenie Wydarzenia w stosunku do innych jej Uczestników, jak i za szkody wyrządzone w mieniu Organizatora lub osób trzecich, których mienie znajduje się na terenie Wydarzenia za zgodą Organizatora.</w:t>
      </w:r>
    </w:p>
    <w:p w14:paraId="00000027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Zakazane jest niszczenie oznaczeń i tablic informacyjnych, nośników reklamowych, urządzeń i sprzętu znajdującego się na terenie Wydarzenia.</w:t>
      </w:r>
    </w:p>
    <w:p w14:paraId="00000028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sdt>
        <w:sdtPr>
          <w:tag w:val="goog_rdk_1"/>
          <w:id w:val="19323437"/>
        </w:sdtPr>
        <w:sdtContent/>
      </w:sdt>
      <w:r>
        <w:rPr>
          <w:rFonts w:ascii="Calibri" w:eastAsia="Calibri" w:hAnsi="Calibri" w:cs="Calibri"/>
          <w:color w:val="000000"/>
          <w:sz w:val="22"/>
          <w:szCs w:val="22"/>
        </w:rPr>
        <w:t>Dokonując rejestracji Uczestni</w:t>
      </w:r>
      <w:r>
        <w:rPr>
          <w:rFonts w:ascii="Calibri" w:eastAsia="Calibri" w:hAnsi="Calibri" w:cs="Calibri"/>
          <w:sz w:val="22"/>
          <w:szCs w:val="22"/>
        </w:rPr>
        <w:t xml:space="preserve">cy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wyrażają zgodę na przetwarzanie danych osobowych dla celów przeprowadzenia Wydarzenia ……………. </w:t>
      </w:r>
      <w:r>
        <w:rPr>
          <w:rFonts w:ascii="Calibri" w:eastAsia="Calibri" w:hAnsi="Calibri" w:cs="Calibri"/>
          <w:i/>
          <w:color w:val="000000"/>
          <w:sz w:val="22"/>
          <w:szCs w:val="22"/>
          <w:highlight w:val="yellow"/>
        </w:rPr>
        <w:t xml:space="preserve">(do uzupełnienia przez IOD </w:t>
      </w:r>
      <w:proofErr w:type="spellStart"/>
      <w:r>
        <w:rPr>
          <w:rFonts w:ascii="Calibri" w:eastAsia="Calibri" w:hAnsi="Calibri" w:cs="Calibri"/>
          <w:i/>
          <w:color w:val="000000"/>
          <w:sz w:val="22"/>
          <w:szCs w:val="22"/>
          <w:highlight w:val="yellow"/>
        </w:rPr>
        <w:t>PWr</w:t>
      </w:r>
      <w:proofErr w:type="spellEnd"/>
      <w:r>
        <w:rPr>
          <w:rFonts w:ascii="Calibri" w:eastAsia="Calibri" w:hAnsi="Calibri" w:cs="Calibri"/>
          <w:i/>
          <w:color w:val="000000"/>
          <w:sz w:val="22"/>
          <w:szCs w:val="22"/>
          <w:highlight w:val="yellow"/>
        </w:rPr>
        <w:t>)</w:t>
      </w:r>
    </w:p>
    <w:p w14:paraId="00000029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  <w:color w:val="000000"/>
          <w:sz w:val="22"/>
          <w:szCs w:val="22"/>
        </w:rPr>
        <w:t xml:space="preserve">Organizator oraz patroni medialni mogą utrwalać przebieg Wydarzenia dla celów dokumentacyjnych lub reklamowo-promocyjnych. Organizator lub osoby przez niego upoważnione mogą korzystać z takiego nagrania lub jego fragmentu, w tym przedstawiającego wizerunek uczestnika lub innej osoby przebywającej na terenie Wydarzenia, bez ograniczeń czasowych i terytorialnych, bez konieczności zapłaty wynagrodzenia za korzystanie z wizerunku określonych w art. 50 ustawy z dnia 4 lutego 1994r. o prawie autorskich i prawach pokrewnych. Uczestnicy przebywający na terenie Wydarzenia wyrażają zgodę na utrwalanie i rozpowszechnianie ich wizerunku, zarejestrowanego podczas wydarzenia. </w:t>
      </w:r>
    </w:p>
    <w:p w14:paraId="0000002A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  <w:color w:val="000000"/>
          <w:sz w:val="22"/>
          <w:szCs w:val="22"/>
        </w:rPr>
        <w:t xml:space="preserve">Każdy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 Wydarzenia zobowiązany jest do bezwzględnego stosowania się do poleceń </w:t>
      </w:r>
      <w:r>
        <w:rPr>
          <w:rFonts w:ascii="Calibri" w:eastAsia="Calibri" w:hAnsi="Calibri" w:cs="Calibri"/>
          <w:sz w:val="22"/>
          <w:szCs w:val="22"/>
        </w:rPr>
        <w:t>O</w:t>
      </w:r>
      <w:r>
        <w:rPr>
          <w:rFonts w:ascii="Calibri" w:eastAsia="Calibri" w:hAnsi="Calibri" w:cs="Calibri"/>
          <w:color w:val="000000"/>
          <w:sz w:val="22"/>
          <w:szCs w:val="22"/>
        </w:rPr>
        <w:t>rganizator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oraz służb porządkowych Uczelni.</w:t>
      </w:r>
    </w:p>
    <w:p w14:paraId="0000002B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Każdy z </w:t>
      </w:r>
      <w:r>
        <w:rPr>
          <w:rFonts w:ascii="Calibri" w:eastAsia="Calibri" w:hAnsi="Calibri" w:cs="Calibri"/>
          <w:sz w:val="22"/>
          <w:szCs w:val="22"/>
        </w:rPr>
        <w:t>U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czestników wydarzenia zobowiązany jest do zapoznania się z niniejszym Regulaminem </w:t>
      </w:r>
      <w:r>
        <w:rPr>
          <w:rFonts w:ascii="Calibri" w:eastAsia="Calibri" w:hAnsi="Calibri" w:cs="Calibri"/>
          <w:sz w:val="22"/>
          <w:szCs w:val="22"/>
        </w:rPr>
        <w:t xml:space="preserve">Wydarzenia 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 oraz z mapą terenu Kampusu Politechniki Wrocławskiej.</w:t>
      </w:r>
    </w:p>
    <w:p w14:paraId="0000002C" w14:textId="77777777" w:rsidR="002A597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color w:val="000000"/>
          <w:sz w:val="22"/>
          <w:szCs w:val="22"/>
        </w:rPr>
        <w:t>Organizator nie ponosi odpowiedzialności za skutki i konsekwencje czynów, będące wynikiem nieprzestrzegania zawartych powyżej postanowień oraz zarządzeń Organizatora i poleceń służb odpowiedzialnych za bezpieczeństwo i porządek.</w:t>
      </w:r>
    </w:p>
    <w:p w14:paraId="0000002D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Calibri" w:eastAsia="Calibri" w:hAnsi="Calibri" w:cs="Calibri"/>
          <w:sz w:val="22"/>
          <w:szCs w:val="22"/>
        </w:rPr>
      </w:pPr>
    </w:p>
    <w:p w14:paraId="0000002E" w14:textId="77777777" w:rsidR="002A5974" w:rsidRDefault="00000000">
      <w:pPr>
        <w:keepNext/>
        <w:keepLines/>
        <w:spacing w:before="120" w:after="120" w:line="259" w:lineRule="auto"/>
        <w:jc w:val="center"/>
        <w:rPr>
          <w:rFonts w:ascii="Calibri" w:eastAsia="Calibri" w:hAnsi="Calibri" w:cs="Calibri"/>
          <w:b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IV. Postanowienia końcowe</w:t>
      </w:r>
    </w:p>
    <w:p w14:paraId="0000002F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bookmarkStart w:id="5" w:name="_heading=h.tyjcwt" w:colFirst="0" w:colLast="0"/>
      <w:bookmarkEnd w:id="5"/>
      <w:r>
        <w:rPr>
          <w:rFonts w:ascii="Calibri" w:eastAsia="Calibri" w:hAnsi="Calibri" w:cs="Calibri"/>
          <w:color w:val="000000"/>
          <w:sz w:val="22"/>
          <w:szCs w:val="22"/>
        </w:rPr>
        <w:t>Organizator zastrzega sobie prawo do zmian w niniejszym Regulaminie.</w:t>
      </w:r>
    </w:p>
    <w:p w14:paraId="00000030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Organizator zastrzega sobie prawo do odwołania Wydarzenia lub zmiany miejsca i/lub terminu, jeśli będzie to wynikało z przyczyn od niego niezależnych.</w:t>
      </w:r>
    </w:p>
    <w:p w14:paraId="00000031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lastRenderedPageBreak/>
        <w:t>Rozstrzyganie wszelkich sporów i podejmowanie decyzji, o których niniejszy Regulamin nie traktuje, jak również prawo do interpretowania wszystkich zapisów niniejszego Regulaminu przysługuje wyłącznie Organizator</w:t>
      </w:r>
      <w:r>
        <w:rPr>
          <w:rFonts w:ascii="Calibri" w:eastAsia="Calibri" w:hAnsi="Calibri" w:cs="Calibri"/>
          <w:sz w:val="22"/>
          <w:szCs w:val="22"/>
        </w:rPr>
        <w:t>owi</w:t>
      </w:r>
      <w:r>
        <w:rPr>
          <w:rFonts w:ascii="Calibri" w:eastAsia="Calibri" w:hAnsi="Calibri" w:cs="Calibri"/>
          <w:color w:val="000000"/>
          <w:sz w:val="22"/>
          <w:szCs w:val="22"/>
        </w:rPr>
        <w:t xml:space="preserve">. </w:t>
      </w:r>
    </w:p>
    <w:p w14:paraId="00000032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W sprawach nieuregulowanych niniejszym Regulaminem stosuje się odpowiednie przepisy Kodeksu Cywilnego.  </w:t>
      </w:r>
    </w:p>
    <w:p w14:paraId="00000033" w14:textId="77777777" w:rsidR="002A597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Regulamin powstał w dwóch wersjach językowych (polskiej i </w:t>
      </w:r>
      <w:sdt>
        <w:sdtPr>
          <w:tag w:val="goog_rdk_2"/>
          <w:id w:val="-703065561"/>
        </w:sdtPr>
        <w:sdtContent/>
      </w:sdt>
      <w:r>
        <w:rPr>
          <w:rFonts w:ascii="Calibri" w:eastAsia="Calibri" w:hAnsi="Calibri" w:cs="Calibri"/>
          <w:color w:val="000000"/>
          <w:sz w:val="22"/>
          <w:szCs w:val="22"/>
        </w:rPr>
        <w:t xml:space="preserve">angielskiej) i jest dostępny na stronie ………………………………. . </w:t>
      </w:r>
      <w:r>
        <w:rPr>
          <w:rFonts w:ascii="Calibri" w:eastAsia="Calibri" w:hAnsi="Calibri" w:cs="Calibri"/>
          <w:i/>
          <w:color w:val="000000"/>
          <w:sz w:val="22"/>
          <w:szCs w:val="22"/>
          <w:highlight w:val="yellow"/>
        </w:rPr>
        <w:t>(zapis opcjonalny)</w:t>
      </w:r>
    </w:p>
    <w:p w14:paraId="00000034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0000035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libri" w:eastAsia="Calibri" w:hAnsi="Calibri" w:cs="Calibri"/>
          <w:sz w:val="22"/>
          <w:szCs w:val="22"/>
        </w:rPr>
      </w:pPr>
    </w:p>
    <w:p w14:paraId="00000036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7" w14:textId="77777777" w:rsidR="002A5974" w:rsidRDefault="002A5974">
      <w:pPr>
        <w:spacing w:after="0" w:line="240" w:lineRule="auto"/>
        <w:rPr>
          <w:rFonts w:ascii="Calibri" w:eastAsia="Calibri" w:hAnsi="Calibri" w:cs="Calibri"/>
          <w:sz w:val="22"/>
          <w:szCs w:val="22"/>
        </w:rPr>
      </w:pPr>
    </w:p>
    <w:p w14:paraId="00000038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9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A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  <w:sectPr w:rsidR="002A5974">
          <w:type w:val="continuous"/>
          <w:pgSz w:w="11910" w:h="16840"/>
          <w:pgMar w:top="1440" w:right="1080" w:bottom="1440" w:left="1080" w:header="708" w:footer="708" w:gutter="0"/>
          <w:cols w:space="708"/>
        </w:sectPr>
      </w:pPr>
    </w:p>
    <w:p w14:paraId="0000003B" w14:textId="77777777" w:rsidR="002A5974" w:rsidRDefault="002A5974">
      <w:pP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C" w14:textId="77777777" w:rsidR="002A5974" w:rsidRDefault="002A597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Calibri" w:eastAsia="Calibri" w:hAnsi="Calibri" w:cs="Calibri"/>
          <w:sz w:val="22"/>
          <w:szCs w:val="22"/>
        </w:rPr>
      </w:pPr>
    </w:p>
    <w:p w14:paraId="0000003D" w14:textId="77777777" w:rsidR="002A5974" w:rsidRDefault="002A5974"/>
    <w:sectPr w:rsidR="002A5974">
      <w:type w:val="continuous"/>
      <w:pgSz w:w="11910" w:h="16840"/>
      <w:pgMar w:top="1440" w:right="1080" w:bottom="1440" w:left="1080" w:header="708" w:footer="708" w:gutter="0"/>
      <w:cols w:num="2" w:space="708" w:equalWidth="0">
        <w:col w:w="4515" w:space="720"/>
        <w:col w:w="451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2F83AE9-BF47-4E40-8811-289408CF60FD}"/>
    <w:embedBold r:id="rId2" w:fontKey="{F07FEB32-C9BF-41DA-8905-09DE1AAE4E1E}"/>
    <w:embedItalic r:id="rId3" w:fontKey="{BF779A82-4E5A-4DF1-BE9D-DF88C0671F6A}"/>
  </w:font>
  <w:font w:name="Play">
    <w:charset w:val="00"/>
    <w:family w:val="auto"/>
    <w:pitch w:val="default"/>
    <w:embedRegular r:id="rId4" w:fontKey="{4588B2B2-F1B4-427D-BAF8-2B0749C53441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60BB6F24-5DB6-4D75-B8D3-B395DB6F96DD}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6" w:fontKey="{6ACCC30B-7C06-4F69-930A-C286AAFE6759}"/>
    <w:embedBold r:id="rId7" w:fontKey="{2E1737F4-57CF-4B4D-B15F-724858937FE4}"/>
    <w:embedItalic r:id="rId8" w:fontKey="{D95992DA-3117-4128-992C-064C39324977}"/>
  </w:font>
  <w:font w:name="Segoe UI">
    <w:panose1 w:val="020B0502040204020203"/>
    <w:charset w:val="00"/>
    <w:family w:val="roman"/>
    <w:notTrueType/>
    <w:pitch w:val="default"/>
    <w:embedRegular r:id="rId9" w:fontKey="{91ADF9DF-A86A-46AA-AD0F-735C4E96BEE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CD7B12"/>
    <w:multiLevelType w:val="multilevel"/>
    <w:tmpl w:val="6548D8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E6DFB"/>
    <w:multiLevelType w:val="multilevel"/>
    <w:tmpl w:val="099C0C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759C9"/>
    <w:multiLevelType w:val="multilevel"/>
    <w:tmpl w:val="6AFA56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47D3A"/>
    <w:multiLevelType w:val="multilevel"/>
    <w:tmpl w:val="DECCD4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B7FBE"/>
    <w:multiLevelType w:val="multilevel"/>
    <w:tmpl w:val="F55AFF1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153065361">
    <w:abstractNumId w:val="1"/>
  </w:num>
  <w:num w:numId="2" w16cid:durableId="1808014293">
    <w:abstractNumId w:val="0"/>
  </w:num>
  <w:num w:numId="3" w16cid:durableId="1173253253">
    <w:abstractNumId w:val="3"/>
  </w:num>
  <w:num w:numId="4" w16cid:durableId="447117360">
    <w:abstractNumId w:val="2"/>
  </w:num>
  <w:num w:numId="5" w16cid:durableId="16711819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74"/>
    <w:rsid w:val="002A5974"/>
    <w:rsid w:val="004A3696"/>
    <w:rsid w:val="004D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343EB27-2CDF-42C1-AB2B-E895C19C3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l" w:eastAsia="pl-PL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Nagwek7">
    <w:name w:val="heading 7"/>
    <w:link w:val="Nagwek7Znak"/>
    <w:uiPriority w:val="9"/>
    <w:semiHidden/>
    <w:unhideWhenUsed/>
    <w:qFormat/>
    <w:rsid w:val="00AD62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link w:val="Nagwek8Znak"/>
    <w:uiPriority w:val="9"/>
    <w:semiHidden/>
    <w:unhideWhenUsed/>
    <w:qFormat/>
    <w:rsid w:val="00AD62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link w:val="Nagwek9Znak"/>
    <w:uiPriority w:val="9"/>
    <w:semiHidden/>
    <w:unhideWhenUsed/>
    <w:qFormat/>
    <w:rsid w:val="00AD62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Nagwek1Znak">
    <w:name w:val="Nagłówek 1 Znak"/>
    <w:basedOn w:val="Domylnaczcionkaakapitu"/>
    <w:uiPriority w:val="9"/>
    <w:rsid w:val="00AD62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uiPriority w:val="9"/>
    <w:semiHidden/>
    <w:rsid w:val="00AD62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uiPriority w:val="9"/>
    <w:semiHidden/>
    <w:rsid w:val="00AD62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uiPriority w:val="9"/>
    <w:semiHidden/>
    <w:rsid w:val="00AD621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uiPriority w:val="9"/>
    <w:semiHidden/>
    <w:rsid w:val="00AD621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uiPriority w:val="9"/>
    <w:semiHidden/>
    <w:rsid w:val="00AD621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D621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D621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D621A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uiPriority w:val="10"/>
    <w:rsid w:val="00AD6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odtytuZnak">
    <w:name w:val="Podtytuł Znak"/>
    <w:basedOn w:val="Domylnaczcionkaakapitu"/>
    <w:uiPriority w:val="11"/>
    <w:rsid w:val="00AD62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link w:val="CytatZnak"/>
    <w:uiPriority w:val="29"/>
    <w:qFormat/>
    <w:rsid w:val="00AD62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D621A"/>
    <w:rPr>
      <w:i/>
      <w:iCs/>
      <w:color w:val="404040" w:themeColor="text1" w:themeTint="BF"/>
    </w:rPr>
  </w:style>
  <w:style w:type="paragraph" w:styleId="Akapitzlist">
    <w:name w:val="List Paragraph"/>
    <w:uiPriority w:val="34"/>
    <w:qFormat/>
    <w:rsid w:val="00AD621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D621A"/>
    <w:rPr>
      <w:i/>
      <w:iCs/>
      <w:color w:val="0F4761" w:themeColor="accent1" w:themeShade="BF"/>
    </w:rPr>
  </w:style>
  <w:style w:type="paragraph" w:styleId="Cytatintensywny">
    <w:name w:val="Intense Quote"/>
    <w:link w:val="CytatintensywnyZnak"/>
    <w:uiPriority w:val="30"/>
    <w:qFormat/>
    <w:rsid w:val="00AD62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D621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D621A"/>
    <w:rPr>
      <w:b/>
      <w:bCs/>
      <w:smallCaps/>
      <w:color w:val="0F4761" w:themeColor="accent1" w:themeShade="BF"/>
      <w:spacing w:val="5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D621A"/>
    <w:rPr>
      <w:sz w:val="16"/>
      <w:szCs w:val="16"/>
    </w:rPr>
  </w:style>
  <w:style w:type="paragraph" w:styleId="Tekstkomentarza">
    <w:name w:val="annotation text"/>
    <w:link w:val="TekstkomentarzaZnak"/>
    <w:uiPriority w:val="99"/>
    <w:unhideWhenUsed/>
    <w:rsid w:val="00AD621A"/>
    <w:pPr>
      <w:spacing w:line="240" w:lineRule="auto"/>
    </w:pPr>
    <w:rPr>
      <w:rFonts w:ascii="Calibri" w:eastAsia="Calibri" w:hAnsi="Calibri" w:cs="Calibri"/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AD621A"/>
    <w:rPr>
      <w:rFonts w:ascii="Calibri" w:eastAsia="Calibri" w:hAnsi="Calibri" w:cs="Calibri"/>
      <w:kern w:val="0"/>
      <w:sz w:val="20"/>
      <w:szCs w:val="20"/>
      <w:lang w:eastAsia="pl-PL"/>
    </w:rPr>
  </w:style>
  <w:style w:type="character" w:styleId="Hipercze">
    <w:name w:val="Hyperlink"/>
    <w:basedOn w:val="Domylnaczcionkaakapitu"/>
    <w:uiPriority w:val="99"/>
    <w:unhideWhenUsed/>
    <w:rsid w:val="00E16F6B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E16F6B"/>
    <w:rPr>
      <w:color w:val="605E5C"/>
      <w:shd w:val="clear" w:color="auto" w:fill="E1DFDD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C7D94"/>
    <w:rPr>
      <w:rFonts w:asciiTheme="minorHAnsi" w:eastAsiaTheme="minorHAnsi" w:hAnsiTheme="minorHAnsi" w:cstheme="minorBidi"/>
      <w:b/>
      <w:bCs/>
      <w:kern w:val="2"/>
      <w:lang w:eastAsia="en-US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C7D94"/>
    <w:rPr>
      <w:rFonts w:ascii="Calibri" w:eastAsia="Calibri" w:hAnsi="Calibri" w:cs="Calibri"/>
      <w:b/>
      <w:bCs/>
      <w:kern w:val="0"/>
      <w:sz w:val="20"/>
      <w:szCs w:val="20"/>
      <w:lang w:eastAsia="pl-PL"/>
    </w:rPr>
  </w:style>
  <w:style w:type="paragraph" w:styleId="Tekstdymka">
    <w:name w:val="Balloon Text"/>
    <w:link w:val="TekstdymkaZnak"/>
    <w:uiPriority w:val="99"/>
    <w:semiHidden/>
    <w:unhideWhenUsed/>
    <w:rsid w:val="002877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87762"/>
    <w:rPr>
      <w:rFonts w:ascii="Segoe UI" w:hAnsi="Segoe UI" w:cs="Segoe UI"/>
      <w:sz w:val="18"/>
      <w:szCs w:val="18"/>
    </w:rPr>
  </w:style>
  <w:style w:type="paragraph" w:styleId="Poprawka">
    <w:name w:val="Revision"/>
    <w:hidden/>
    <w:uiPriority w:val="99"/>
    <w:semiHidden/>
    <w:rsid w:val="00625A64"/>
    <w:pPr>
      <w:spacing w:after="0" w:line="240" w:lineRule="auto"/>
    </w:pPr>
  </w:style>
  <w:style w:type="paragraph" w:styleId="Podtytu">
    <w:name w:val="Subtitle"/>
    <w:basedOn w:val="Normalny"/>
    <w:next w:val="Normalny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SA+wdpvepQENHOQbvjmCEAzDBg==">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1053</Words>
  <Characters>6324</Characters>
  <Application>Microsoft Office Word</Application>
  <DocSecurity>0</DocSecurity>
  <Lines>52</Lines>
  <Paragraphs>14</Paragraphs>
  <ScaleCrop>false</ScaleCrop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Mikołaj Tkotz (261684)</dc:creator>
  <cp:lastModifiedBy>Maciej Król (288113)</cp:lastModifiedBy>
  <cp:revision>2</cp:revision>
  <dcterms:created xsi:type="dcterms:W3CDTF">2025-07-28T08:55:00Z</dcterms:created>
  <dcterms:modified xsi:type="dcterms:W3CDTF">2025-10-20T18:07:00Z</dcterms:modified>
</cp:coreProperties>
</file>