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Regulamin ………………..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120" w:before="120" w:line="259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I. Postanowienia ogólne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Niniejszy regulamin (zwany dalej „Regulaminem) dotyczy organizacji ……………….(zwanego dalej „Wydarzenie”) organizowanego w terminie ………………… na terenie Politechniki Wrocławskiej przez …………………….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(zwanego dalej jako ,,Organizator”).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Celem niniejszego Regulaminu jest zapewnienie bezpiecznego przebiegu  Wydarzenia poprzez określenie zasad zachowania się osób obecnych na Wydarzeniu i korzystania przez nie z terenu, na którym jest organizowane.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Wydarzenie ma charakter zamknięty i nie stanowi imprezy masowej w rozumieniu Ustawy z dnia 23 marca 2009 roku o bezpieczeństwie imprez masowych.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Tematyka Wydarzenia dotyczy …………………..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436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Wydarzenia jest adresowane do ……………………….. . Chętni do udziału w Wydarzeniu uzyskują status Uczestnika po wypełnieniu formularza zgłoszeniowego i jego akceptacji przez Organizatora.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Status Uczestnika przysługuje również wszystkim zaproszonym na Wydarzenie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……………….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biorącym udział w Wydarzeniu jako prelegenci.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Uczestnicy otrzymują certyfikat uczestnictwa w Wydarzeniu.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 Wydarzeniu mogą brać udział także przedstawiciele patronów medialnych, po wcześniejszym poinformowaniu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rganizatora, przy czym nie są oni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definiowani jako Uczestnicy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Oficjalnym serwisem internetowym do rejestracji Uczestników Wydarzenia jest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Eventownik Solvro dostępny na https://eventownik.solvro.pl/</w:t>
      </w:r>
      <w:sdt>
        <w:sdtPr>
          <w:id w:val="201037481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……………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Udział w Wydarzeniu jest płatny/bezpłatny (niepotrzebne skreślić) , opłata  wynosi  …………… zł.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Opłatę  należy uiścić po zatwierdzeniu abstraktu przez Organizatora w serwisie  ……………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Uczestnik ma prawo do rezygnacji z udziału w Wydarzeniu i ubiegania się o zwrot opłaty, zgodnie z poniższymi zasadami: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rezygnacji zgłoszonej do dnia …………….. (włącznie) – zwrot pełnej kwoty opłaty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rezygnacji zgłoszonej po dniu …………. – opłata   nie podlega zwrotowi.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rezygnacji z udziału w Wydarzeniu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istnieje możliwość przeniesienia opłaty  na inną osobę wskazaną przez Uczestnika, pod warunkiem zgłoszenia tego faktu Organizatorowi nie później niż do dnia ………………. włącznie.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 ramach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Wydarzenia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odbędą się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……………………………………...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ma prawo do odmówienia wstępu oraz przebywania na Wydarzeniu osobom będącym w stanie nietrzeźwym lub pod wpływem środków odurzających, a także łamiącym postanowienia niniejszego Regulaminu.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lub w jego imieniu pracownicy administracji Politechniki Wrocławskiej mają prawo odmówić osobie wejścia na teren Wydarzenia, jeżeli stwierdzi się, że osoba zakłóca ład i porządek publiczny w szczególności w sposób określony w pkt. 15.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  <w:sectPr>
          <w:pgSz w:h="16840" w:w="1191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Udział w Wydarzeniu jest równoznaczny z akceptacją przez Uczestnika niniejszego Regulaminu. Uczestnik wydarzenia przyjmuje tym samym do wiadomości, że w przypadku niestosowania się do Regulaminu będzie pozbawiony prawa do uczestnictwa w Wydarzeniu.</w:t>
      </w:r>
    </w:p>
    <w:p w:rsidR="00000000" w:rsidDel="00000000" w:rsidP="00000000" w:rsidRDefault="00000000" w:rsidRPr="00000000" w14:paraId="00000017">
      <w:pPr>
        <w:keepNext w:val="1"/>
        <w:keepLines w:val="1"/>
        <w:spacing w:after="120" w:before="120" w:line="259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II. Zasady organizacyjne i porządkowe na terenie organizacji Wydarzenia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3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Podczas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Wydarzenia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wszystkich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czestników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wydarzenia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obowiązuje zakaz wnoszenia i dystrybucji alkoholu czy innych substancji odurzających; przypomina się też, że na terenie Wydarzenia  obowiązuje zakaz palenia papierosów (w tym e-papierosów).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 przypadku spowodowania szkody przez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czestnika, zostaje sporządzony protokół incydentu, w którym to zobowiązuje się on do ich naprawienia lub pokrycia kosztów ich naprawienia. W przypadku umyślnego spowodowania szkody, po spisaniu protokołu nastąpi natychmiastowe usunięcie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czestnika z Wydarzenia.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Na terenie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Wydarzenia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zabronione jest prowadzenie sprzedaży, reklamy, akwizycji oraz przeprowadzanie zbiórek pieniężnych.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Zabrania się wywieszania oraz eksponowania na terenie Wydarzenia banerów oraz transparentów zawierających treści wulgarne lub nawołujące do nienawiści, agresji itp.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Fakt zaistnienia w trakcie Wydarzenia wypadku, w szczególności złego samopoczucia, nabawienia się kontuzji, skaleczenia lub poparzenia należy bezwzględnie zgłosić Organizator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owi Wydarzenia.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Apteczka pierwszej pomocy będzie dostępna na portierni w budynku …………..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120" w:before="120" w:line="259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III. Prawa i obowiązki Uczestników Wydarzenia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Uczestnicy dokonują rejestracji przez usługę ………………….. Informacja o adresie internetowym do rejestracji będzie też dostępna na oficjalnej stronie ……………… . Po przesłaniu formularzy rejestracyjnych nastąpi proces akceptacji zgłoszeń , które zyskają status Uczestników, którzy wezmą udział w Wydarzeniu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Niekompletne formularze zgłoszeniowe nie będą rozpatrywane przez Organizatora Wydarzenia.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Uczestnik zobowiązany jest do rejestracji w dniu rozpoczęcia Wydarzenia by potwierdzić swoją obecność.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Organizator na terenie Politechniki Wrocławskiej zapewnia dla Wydarzenia wyżywienie podczas przerw lunchowych oraz przerw kawowych.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nie ponosi odpowiedzialności za rzeczy należące do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czestnik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ów Wydarzenia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które mogą zostać zgubione, zniszczone lub skradzione podczas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Wydarzenia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nie ponosi odpowiedzialności za niewłaściwe zachowania Uczestników.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Uczestnik Wydarzenia ponosi pełną odpowiedzialność materialną za szkody wyrządzone przez niego na terenie Wydarzenia w stosunku do innych jej Uczestników, jak i za szkody wyrządzone w mieniu Organizatora lub osób trzecich, których mienie znajduje się na terenie Wydarzenia za zgodą Organizatora.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Zakazane jest niszczenie oznaczeń i tablic informacyjnych, nośników reklamowych, urządzeń i sprzętu znajdującego się na terenie Wydarzenia.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sdt>
        <w:sdtPr>
          <w:id w:val="19323437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Dokonując rejestracji Uczestni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cy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wyrażają zgodę na przetwarzanie danych osobowych dla celów przeprowadzenia Wydarzenia …………….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highlight w:val="yellow"/>
          <w:rtl w:val="0"/>
        </w:rPr>
        <w:t xml:space="preserve">(do uzupełnienia przez IOD PWr)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oraz patroni medialni mogą utrwalać przebieg Wydarzenia dla celów dokumentacyjnych lub reklamowo-promocyjnych. Organizator lub osoby przez niego upoważnione mogą korzystać z takiego nagrania lub jego fragmentu, w tym przedstawiającego wizerunek uczestnika lub innej osoby przebywającej na terenie Wydarzenia, bez ograniczeń czasowych i terytorialnych, bez konieczności zapłaty wynagrodzenia za korzystanie z wizerunku określonych w art. 50 ustawy z dnia 4 lutego 1994r. o prawie autorskich i prawach pokrewnych. Uczestnicy przebywający na terenie Wydarzenia wyrażają zgodę na utrwalanie i rozpowszechnianie ich wizerunku, zarejestrowanego podczas wydarzenia.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Każdy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czestnik Wydarzenia zobowiązany jest do bezwzględnego stosowania się do poleceń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rganizator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oraz służb porządkowych Uczelni.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Każdy z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czestników wydarzenia zobowiązany jest do zapoznania się z niniejszym Regulaminem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Wydarzenia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oraz z mapą terenu Kampusu Politechniki Wrocławskiej.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nie ponosi odpowiedzialności za skutki i konsekwencje czynów, będące wynikiem nieprzestrzegania zawartych powyżej postanowień oraz zarządzeń Organizatora i poleceń służb odpowiedzialnych za bezpieczeństwo i porządek.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spacing w:after="120" w:before="120" w:line="259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IV. Postanowienia końcowe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zastrzega sobie prawo do zmian w niniejszym Regulaminie.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Organizator zastrzega sobie prawo do odwołania Wydarzenia lub zmiany miejsca i/lub terminu, jeśli będzie to wynikało z przyczyn od niego niezależnych.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Rozstrzyganie wszelkich sporów i podejmowanie decyzji, o których niniejszy Regulamin nie traktuje, jak również prawo do interpretowania wszystkich zapisów niniejszego Regulaminu przysługuje wyłącznie Organizator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owi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 sprawach nieuregulowanych niniejszym Regulaminem stosuje się odpowiednie przepisy Kodeksu Cywilnego. 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Regulamin powstał w dwóch wersjach językowych (polskiej i </w:t>
      </w:r>
      <w:sdt>
        <w:sdtPr>
          <w:id w:val="-703065561"/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angielskiej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) i jest dostępny na stronie ………………………………. .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highlight w:val="yellow"/>
          <w:rtl w:val="0"/>
        </w:rPr>
        <w:t xml:space="preserve">(zapis opcjonalny)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right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10" w:orient="portrait"/>
          <w:pgMar w:bottom="1440" w:top="1440" w:left="1080" w:right="108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440" w:top="1440" w:left="1080" w:right="1080" w:header="708" w:footer="708"/>
      <w:cols w:equalWidth="0" w:num="2">
        <w:col w:space="720" w:w="4515"/>
        <w:col w:space="0" w:w="4515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awid Linek" w:id="1" w:date="2025-08-15T10:14:39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 rejestracji zawsze będzie jeszcze do akceptacji dodatkowa zgoda dot. Przetwarzania danych, więc tu tylko musimy zaznaczyć, że Uczestnik rejestrując się na wydarzenia zapoznał się z oświadczeniem o przetwarzaniu danych.</w:t>
      </w:r>
    </w:p>
  </w:comment>
  <w:comment w:author="Dawid Linek" w:id="2" w:date="2025-08-15T10:15:1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raczej w angielskiej mało kiedy będzie powstawał</w:t>
      </w:r>
    </w:p>
  </w:comment>
  <w:comment w:author="Dawid Linek" w:id="0" w:date="2025-08-15T10:08:37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organizator przy każdym wydarzeniu wypełni adres rejestracji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E" w15:done="0"/>
  <w15:commentEx w15:paraId="0000003F" w15:done="0"/>
  <w15:commentEx w15:paraId="0000004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AD621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AD621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AD621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AD621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AD621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AD621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AD621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AD621A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AD621A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AD621A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AD621A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AD621A"/>
    <w:rPr>
      <w:rFonts w:cstheme="majorBidi" w:eastAsiaTheme="majorEastAsia"/>
      <w:color w:val="272727" w:themeColor="text1" w:themeTint="0000D8"/>
    </w:rPr>
  </w:style>
  <w:style w:type="character" w:styleId="TytuZnak" w:customStyle="1">
    <w:name w:val="Tytuł Znak"/>
    <w:basedOn w:val="Domylnaczcionkaakapitu"/>
    <w:link w:val="Tytu"/>
    <w:uiPriority w:val="10"/>
    <w:rsid w:val="00AD621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odtytuZnak" w:customStyle="1">
    <w:name w:val="Podtytuł Znak"/>
    <w:basedOn w:val="Domylnaczcionkaakapitu"/>
    <w:link w:val="Podtytu"/>
    <w:uiPriority w:val="11"/>
    <w:rsid w:val="00AD621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AD621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AD621A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AD621A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AD621A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AD621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AD621A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AD621A"/>
    <w:rPr>
      <w:b w:val="1"/>
      <w:bCs w:val="1"/>
      <w:smallCaps w:val="1"/>
      <w:color w:val="0f4761" w:themeColor="accent1" w:themeShade="0000BF"/>
      <w:spacing w:val="5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AD62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 w:val="1"/>
    <w:rsid w:val="00AD621A"/>
    <w:pPr>
      <w:spacing w:line="240" w:lineRule="auto"/>
    </w:pPr>
    <w:rPr>
      <w:rFonts w:ascii="Calibri" w:cs="Calibri" w:eastAsia="Calibri" w:hAnsi="Calibri"/>
      <w:kern w:val="0"/>
      <w:sz w:val="20"/>
      <w:szCs w:val="20"/>
      <w:lang w:eastAsia="pl-PL"/>
    </w:rPr>
  </w:style>
  <w:style w:type="character" w:styleId="TekstkomentarzaZnak" w:customStyle="1">
    <w:name w:val="Tekst komentarza Znak"/>
    <w:basedOn w:val="Domylnaczcionkaakapitu"/>
    <w:link w:val="Tekstkomentarza"/>
    <w:uiPriority w:val="99"/>
    <w:rsid w:val="00AD621A"/>
    <w:rPr>
      <w:rFonts w:ascii="Calibri" w:cs="Calibri" w:eastAsia="Calibri" w:hAnsi="Calibri"/>
      <w:kern w:val="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 w:val="1"/>
    <w:rsid w:val="00E16F6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E16F6B"/>
    <w:rPr>
      <w:color w:val="605e5c"/>
      <w:shd w:color="auto" w:fill="e1dfdd" w:val="clear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4C7D94"/>
    <w:rPr>
      <w:rFonts w:asciiTheme="minorHAnsi" w:cstheme="minorBidi" w:eastAsiaTheme="minorHAnsi" w:hAnsiTheme="minorHAnsi"/>
      <w:b w:val="1"/>
      <w:bCs w:val="1"/>
      <w:kern w:val="2"/>
      <w:lang w:eastAsia="en-US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4C7D94"/>
    <w:rPr>
      <w:rFonts w:ascii="Calibri" w:cs="Calibri" w:eastAsia="Calibri" w:hAnsi="Calibri"/>
      <w:b w:val="1"/>
      <w:bCs w:val="1"/>
      <w:kern w:val="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28776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287762"/>
    <w:rPr>
      <w:rFonts w:ascii="Segoe UI" w:cs="Segoe UI" w:hAnsi="Segoe UI"/>
      <w:sz w:val="18"/>
      <w:szCs w:val="18"/>
    </w:rPr>
  </w:style>
  <w:style w:type="paragraph" w:styleId="Poprawka">
    <w:name w:val="Revision"/>
    <w:hidden w:val="1"/>
    <w:uiPriority w:val="99"/>
    <w:semiHidden w:val="1"/>
    <w:rsid w:val="00625A64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SA+wdpvepQENHOQbvjmCEAzDBg==">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2025-07-28T08:55:00Z</dcterms:created>
  <dc:creator>Mikołaj Tkotz (261684)</dc:creator>
</cp:coreProperties>
</file>