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Yu Gothic" w:hAnsi="Yu Gothic" w:eastAsia="游ゴシック"/>
          <w:b/>
          <w:color w:val="1F4E79"/>
          <w:sz w:val="50"/>
        </w:rPr>
        <w:t>独自の3次元畳み込み演算の設計</w:t>
      </w:r>
    </w:p>
    <w:p>
      <w:pPr>
        <w:jc w:val="center"/>
      </w:pPr>
      <w:r>
        <w:rPr>
          <w:rFonts w:ascii="Yu Gothic" w:hAnsi="Yu Gothic" w:eastAsia="游ゴシック"/>
          <w:sz w:val="32"/>
        </w:rPr>
        <w:t>領域分割向け・回転等変性を重視した研究提案</w:t>
      </w:r>
    </w:p>
    <w:p/>
    <w:p>
      <w:pPr>
        <w:jc w:val="center"/>
      </w:pPr>
      <w:r>
        <w:t>対象：ボクセル・点群・メッシュ・連続3D場を想定した汎用演算</w:t>
        <w:br/>
      </w:r>
      <w:r>
        <w:t>主目標：回転等変性と姿勢変化への頑健性</w:t>
        <w:br/>
      </w:r>
      <w:r>
        <w:t>設計方針：理論的新規性を優先し、既存手法との差を実験で検証</w:t>
      </w:r>
    </w:p>
    <w:p>
      <w:r>
        <w:br w:type="page"/>
      </w:r>
    </w:p>
    <w:p>
      <w:pPr>
        <w:pStyle w:val="Heading1"/>
        <w:keepNext/>
      </w:pPr>
      <w:r>
        <w:t>本資料の位置づけ</w:t>
      </w:r>
    </w:p>
    <w:p>
      <w:r>
        <w:t>本資料は、会話内で検討した3D畳み込みの基礎、形状適応型3D畳み込み（GA3DConv）、境界・方向を分離するDual-Field案、回転等変な不変ゲート付き演算（IGSC）、PyTorchの参照実装、領域分割ネットワーク、計算量、比較実験を統合した研究設計メモである。</w:t>
      </w:r>
    </w:p>
    <w:p>
      <w:r>
        <w:t>重要：ここに記載するGA3DConv、Dual-Field、IGSCは研究上の仮称・提案案であり、既存研究に対する新規性や性能向上が確認された手法ではない。論文化前に先行研究調査、厳密な実装検証、実験が必要である。</w:t>
      </w:r>
    </w:p>
    <w:p>
      <w:pPr>
        <w:pStyle w:val="Heading1"/>
        <w:keepNext/>
      </w:pPr>
      <w:r>
        <w:t>要約</w:t>
      </w:r>
    </w:p>
    <w:p>
      <w:pPr>
        <w:pStyle w:val="ListBullet"/>
        <w:spacing w:after="40"/>
      </w:pPr>
      <w:r>
        <w:t>3D畳み込みは、奥行き・高さ・幅の3方向に広がる近傍を処理する演算である。</w:t>
      </w:r>
    </w:p>
    <w:p>
      <w:pPr>
        <w:pStyle w:val="ListBullet"/>
        <w:spacing w:after="40"/>
      </w:pPr>
      <w:r>
        <w:t>回転に対して領域マスクも対応して回転する性質を、回転不変性ではなく回転等変性と呼ぶ。</w:t>
      </w:r>
    </w:p>
    <w:p>
      <w:pPr>
        <w:pStyle w:val="ListBullet"/>
        <w:spacing w:after="40"/>
      </w:pPr>
      <w:r>
        <w:t>提案の中心は、SO(3)等変カーネルを基礎とし、回転不変なスカラーゲートで局所情報伝達を調整するIGSCである。</w:t>
      </w:r>
    </w:p>
    <w:p>
      <w:pPr>
        <w:pStyle w:val="ListBullet"/>
        <w:spacing w:after="40"/>
      </w:pPr>
      <w:r>
        <w:t>境界場と形状場を分離するDual-Field案、特徴差に基づくGA3DConvは、別の設計候補・アブレーションとして扱う。</w:t>
      </w:r>
    </w:p>
    <w:p>
      <w:pPr>
        <w:pStyle w:val="ListBullet"/>
        <w:spacing w:after="40"/>
      </w:pPr>
      <w:r>
        <w:t>初期検証は点群上のスカラー版で行い、完全な等変性を目指す場合は球面調和関数・既約表現・Clebsch–Gordan結合を実装する。</w:t>
      </w:r>
    </w:p>
    <w:p>
      <w:pPr>
        <w:pStyle w:val="ListBullet"/>
        <w:spacing w:after="40"/>
      </w:pPr>
      <w:r>
        <w:t>3D U-Netをボクセル領域分割のベースラインとし、標準Conv、回転拡張、既存等変Conv、提案演算を比較する。</w:t>
      </w:r>
    </w:p>
    <w:p>
      <w:pPr>
        <w:pStyle w:val="Heading1"/>
        <w:keepNext/>
      </w:pPr>
      <w:r>
        <w:t>1. 3次元畳み込みの基礎</w:t>
      </w:r>
    </w:p>
    <w:p>
      <w:r>
        <w:t>3D Convolutionは、入力の奥行きD・高さH・幅Wの各方向にカーネルを適用し、立体的な局所特徴を抽出する。通常の3D CNNでは、入力テンソルは一般に [B, C, D, H, W] の順で表す。</w:t>
      </w:r>
    </w:p>
    <w:p>
      <w:pPr>
        <w:jc w:val="center"/>
      </w:pPr>
      <w:r>
        <w:rPr>
          <w:rFonts w:ascii="Cambria Math" w:hAnsi="Cambria Math"/>
          <w:sz w:val="22"/>
        </w:rPr>
        <w:t>Y_o(p) = Σ_c Σ_{r∈N} W_{o,c,r} X_c(p+r)</w:t>
      </w:r>
    </w:p>
    <w:p>
      <w:r>
        <w:t>pは3次元位置、rは近傍の相対位置、Wは学習可能なカーネル重みである。通常のCNN実装では、数学的な畳み込みのカーネル反転とは異なり、相互相関として計算されることが多い。</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20"/>
            </w:pPr>
            <w:r/>
            <w:r>
              <w:rPr>
                <w:rFonts w:ascii="Yu Gothic" w:hAnsi="Yu Gothic" w:eastAsia="游ゴシック"/>
                <w:b/>
                <w:sz w:val="18"/>
              </w:rPr>
              <w:t>方式</w:t>
            </w:r>
          </w:p>
        </w:tc>
        <w:tc>
          <w:tcPr>
            <w:tcW w:type="dxa" w:w="3312"/>
            <w:vAlign w:val="center"/>
            <w:shd w:fill="D9EAF7"/>
          </w:tcPr>
          <w:p>
            <w:pPr>
              <w:spacing w:after="20"/>
            </w:pPr>
            <w:r/>
            <w:r>
              <w:rPr>
                <w:rFonts w:ascii="Yu Gothic" w:hAnsi="Yu Gothic" w:eastAsia="游ゴシック"/>
                <w:b/>
                <w:sz w:val="18"/>
              </w:rPr>
              <w:t>特徴</w:t>
            </w:r>
          </w:p>
        </w:tc>
        <w:tc>
          <w:tcPr>
            <w:tcW w:type="dxa" w:w="3312"/>
            <w:vAlign w:val="center"/>
            <w:shd w:fill="D9EAF7"/>
          </w:tcPr>
          <w:p>
            <w:pPr>
              <w:spacing w:after="20"/>
            </w:pPr>
            <w:r/>
            <w:r>
              <w:rPr>
                <w:rFonts w:ascii="Yu Gothic" w:hAnsi="Yu Gothic" w:eastAsia="游ゴシック"/>
                <w:b/>
                <w:sz w:val="18"/>
              </w:rPr>
              <w:t>主な制約</w:t>
            </w:r>
          </w:p>
        </w:tc>
      </w:tr>
      <w:tr>
        <w:tc>
          <w:tcPr>
            <w:tcW w:type="dxa" w:w="3312"/>
            <w:vAlign w:val="center"/>
          </w:tcPr>
          <w:p>
            <w:pPr>
              <w:spacing w:after="20"/>
            </w:pPr>
            <w:r/>
            <w:r>
              <w:rPr>
                <w:rFonts w:ascii="Yu Gothic" w:hAnsi="Yu Gothic" w:eastAsia="游ゴシック"/>
                <w:b w:val="0"/>
                <w:sz w:val="18"/>
              </w:rPr>
              <w:t>標準3D畳み込み</w:t>
            </w:r>
          </w:p>
        </w:tc>
        <w:tc>
          <w:tcPr>
            <w:tcW w:type="dxa" w:w="3312"/>
            <w:vAlign w:val="center"/>
          </w:tcPr>
          <w:p>
            <w:pPr>
              <w:spacing w:after="20"/>
            </w:pPr>
            <w:r/>
            <w:r>
              <w:rPr>
                <w:rFonts w:ascii="Yu Gothic" w:hAnsi="Yu Gothic" w:eastAsia="游ゴシック"/>
                <w:b w:val="0"/>
                <w:sz w:val="18"/>
              </w:rPr>
              <w:t>格子上の局所特徴を効率よく抽出</w:t>
            </w:r>
          </w:p>
        </w:tc>
        <w:tc>
          <w:tcPr>
            <w:tcW w:type="dxa" w:w="3312"/>
            <w:vAlign w:val="center"/>
          </w:tcPr>
          <w:p>
            <w:pPr>
              <w:spacing w:after="20"/>
            </w:pPr>
            <w:r/>
            <w:r>
              <w:rPr>
                <w:rFonts w:ascii="Yu Gothic" w:hAnsi="Yu Gothic" w:eastAsia="游ゴシック"/>
                <w:b w:val="0"/>
                <w:sz w:val="18"/>
              </w:rPr>
              <w:t>任意回転に対する等変性は保証しない</w:t>
            </w:r>
          </w:p>
        </w:tc>
      </w:tr>
      <w:tr>
        <w:tc>
          <w:tcPr>
            <w:tcW w:type="dxa" w:w="3312"/>
            <w:vAlign w:val="center"/>
          </w:tcPr>
          <w:p>
            <w:pPr>
              <w:spacing w:after="20"/>
            </w:pPr>
            <w:r/>
            <w:r>
              <w:rPr>
                <w:rFonts w:ascii="Yu Gothic" w:hAnsi="Yu Gothic" w:eastAsia="游ゴシック"/>
                <w:b w:val="0"/>
                <w:sz w:val="18"/>
              </w:rPr>
              <w:t>Deformable Conv</w:t>
            </w:r>
          </w:p>
        </w:tc>
        <w:tc>
          <w:tcPr>
            <w:tcW w:type="dxa" w:w="3312"/>
            <w:vAlign w:val="center"/>
          </w:tcPr>
          <w:p>
            <w:pPr>
              <w:spacing w:after="20"/>
            </w:pPr>
            <w:r/>
            <w:r>
              <w:rPr>
                <w:rFonts w:ascii="Yu Gothic" w:hAnsi="Yu Gothic" w:eastAsia="游ゴシック"/>
                <w:b w:val="0"/>
                <w:sz w:val="18"/>
              </w:rPr>
              <w:t>サンプリング位置を学習で調整</w:t>
            </w:r>
          </w:p>
        </w:tc>
        <w:tc>
          <w:tcPr>
            <w:tcW w:type="dxa" w:w="3312"/>
            <w:vAlign w:val="center"/>
          </w:tcPr>
          <w:p>
            <w:pPr>
              <w:spacing w:after="20"/>
            </w:pPr>
            <w:r/>
            <w:r>
              <w:rPr>
                <w:rFonts w:ascii="Yu Gothic" w:hAnsi="Yu Gothic" w:eastAsia="游ゴシック"/>
                <w:b w:val="0"/>
                <w:sz w:val="18"/>
              </w:rPr>
              <w:t>それ自体で回転等変性が保証されるわけではない</w:t>
            </w:r>
          </w:p>
        </w:tc>
      </w:tr>
      <w:tr>
        <w:tc>
          <w:tcPr>
            <w:tcW w:type="dxa" w:w="3312"/>
            <w:vAlign w:val="center"/>
          </w:tcPr>
          <w:p>
            <w:pPr>
              <w:spacing w:after="20"/>
            </w:pPr>
            <w:r/>
            <w:r>
              <w:rPr>
                <w:rFonts w:ascii="Yu Gothic" w:hAnsi="Yu Gothic" w:eastAsia="游ゴシック"/>
                <w:b w:val="0"/>
                <w:sz w:val="18"/>
              </w:rPr>
              <w:t>SO(3)等変畳み込み</w:t>
            </w:r>
          </w:p>
        </w:tc>
        <w:tc>
          <w:tcPr>
            <w:tcW w:type="dxa" w:w="3312"/>
            <w:vAlign w:val="center"/>
          </w:tcPr>
          <w:p>
            <w:pPr>
              <w:spacing w:after="20"/>
            </w:pPr>
            <w:r/>
            <w:r>
              <w:rPr>
                <w:rFonts w:ascii="Yu Gothic" w:hAnsi="Yu Gothic" w:eastAsia="游ゴシック"/>
                <w:b w:val="0"/>
                <w:sz w:val="18"/>
              </w:rPr>
              <w:t>回転と整合した特徴変換を設計</w:t>
            </w:r>
          </w:p>
        </w:tc>
        <w:tc>
          <w:tcPr>
            <w:tcW w:type="dxa" w:w="3312"/>
            <w:vAlign w:val="center"/>
          </w:tcPr>
          <w:p>
            <w:pPr>
              <w:spacing w:after="20"/>
            </w:pPr>
            <w:r/>
            <w:r>
              <w:rPr>
                <w:rFonts w:ascii="Yu Gothic" w:hAnsi="Yu Gothic" w:eastAsia="游ゴシック"/>
                <w:b w:val="0"/>
                <w:sz w:val="18"/>
              </w:rPr>
              <w:t>表現・カーネル設計が複雑で計算負荷が増える場合がある</w:t>
            </w:r>
          </w:p>
        </w:tc>
      </w:tr>
      <w:tr>
        <w:tc>
          <w:tcPr>
            <w:tcW w:type="dxa" w:w="3312"/>
            <w:vAlign w:val="center"/>
          </w:tcPr>
          <w:p>
            <w:pPr>
              <w:spacing w:after="20"/>
            </w:pPr>
            <w:r/>
            <w:r>
              <w:rPr>
                <w:rFonts w:ascii="Yu Gothic" w:hAnsi="Yu Gothic" w:eastAsia="游ゴシック"/>
                <w:b w:val="0"/>
                <w:sz w:val="18"/>
              </w:rPr>
              <w:t>形状・境界適応型</w:t>
            </w:r>
          </w:p>
        </w:tc>
        <w:tc>
          <w:tcPr>
            <w:tcW w:type="dxa" w:w="3312"/>
            <w:vAlign w:val="center"/>
          </w:tcPr>
          <w:p>
            <w:pPr>
              <w:spacing w:after="20"/>
            </w:pPr>
            <w:r/>
            <w:r>
              <w:rPr>
                <w:rFonts w:ascii="Yu Gothic" w:hAnsi="Yu Gothic" w:eastAsia="游ゴシック"/>
                <w:b w:val="0"/>
                <w:sz w:val="18"/>
              </w:rPr>
              <w:t>局所形状や境界に応じて近傍の寄与を変更</w:t>
            </w:r>
          </w:p>
        </w:tc>
        <w:tc>
          <w:tcPr>
            <w:tcW w:type="dxa" w:w="3312"/>
            <w:vAlign w:val="center"/>
          </w:tcPr>
          <w:p>
            <w:pPr>
              <w:spacing w:after="20"/>
            </w:pPr>
            <w:r/>
            <w:r>
              <w:rPr>
                <w:rFonts w:ascii="Yu Gothic" w:hAnsi="Yu Gothic" w:eastAsia="游ゴシック"/>
                <w:b w:val="0"/>
                <w:sz w:val="18"/>
              </w:rPr>
              <w:t>適応機構が等変性を壊さない設計が必要</w:t>
            </w:r>
          </w:p>
        </w:tc>
      </w:tr>
    </w:tbl>
    <w:p/>
    <w:p>
      <w:pPr>
        <w:pStyle w:val="Heading1"/>
        <w:keepNext/>
      </w:pPr>
      <w:r>
        <w:t>2. 目標とする幾何学的性質</w:t>
      </w:r>
    </w:p>
    <w:p>
      <w:pPr>
        <w:pStyle w:val="Heading2"/>
        <w:keepNext/>
      </w:pPr>
      <w:r>
        <w:t>2.1 回転等変性と回転不変性</w:t>
      </w:r>
    </w:p>
    <w:p>
      <w:r>
        <w:t>回転等変性は、入力を回転させたとき、出力も対応して回転する性質である。セグメンテーションでは予測マスクの位置・形状が入力に合わせて変わる必要があるため、基本目標は等変性である。</w:t>
      </w:r>
    </w:p>
    <w:p>
      <w:pPr>
        <w:jc w:val="center"/>
      </w:pPr>
      <w:r>
        <w:rPr>
          <w:rFonts w:ascii="Cambria Math" w:hAnsi="Cambria Math"/>
          <w:sz w:val="22"/>
        </w:rPr>
        <w:t>f(T_R X) = T_R f(X),   R ∈ SO(3)</w:t>
      </w:r>
    </w:p>
    <w:p>
      <w:r>
        <w:t>T_Rは回転Rが入力または出力に作用する変換を表す。回転不変性は出力が回転で変わらない性質であり、クラス分類には有用な場合があるが、空間マスクそのものには通常、等変性の方が適切である。</w:t>
      </w:r>
    </w:p>
    <w:p>
      <w:pPr>
        <w:pStyle w:val="Heading2"/>
        <w:keepNext/>
      </w:pPr>
      <w:r>
        <w:t>2.2 離散化の注意</w:t>
      </w:r>
    </w:p>
    <w:p>
      <w:pPr>
        <w:pStyle w:val="ListBullet"/>
        <w:spacing w:after="40"/>
      </w:pPr>
      <w:r>
        <w:t>連続空間の理論上の等変性と、有限格子・有限点群上の数値的な等変性は区別する。</w:t>
      </w:r>
    </w:p>
    <w:p>
      <w:pPr>
        <w:pStyle w:val="ListBullet"/>
        <w:spacing w:after="40"/>
      </w:pPr>
      <w:r>
        <w:t>ボクセル格子では任意角度回転に補間誤差が生じる。90度単位の格子対称性と任意角度のSO(3)等変性も別物である。</w:t>
      </w:r>
    </w:p>
    <w:p>
      <w:pPr>
        <w:pStyle w:val="ListBullet"/>
        <w:spacing w:after="40"/>
      </w:pPr>
      <w:r>
        <w:t>点群では座標を直接回転できるため、幾何学的な性質の初期検証に向いている。ただし近傍探索、点密度、順序不変性など別の課題がある。</w:t>
      </w:r>
    </w:p>
    <w:p>
      <w:pPr>
        <w:pStyle w:val="ListBullet"/>
        <w:spacing w:after="40"/>
      </w:pPr>
      <w:r>
        <w:t>ネットワーク全体の等変性には、畳み込みだけでなく、非線形性・正規化・プーリング・アップサンプリング・パディング・Skip Connectionも整合している必要がある。</w:t>
      </w:r>
    </w:p>
    <w:p>
      <w:pPr>
        <w:pStyle w:val="Heading1"/>
        <w:keepNext/>
      </w:pPr>
      <w:r>
        <w:t>3. 研究候補A：形状適応型3D畳み込み（GA3DConv）</w:t>
      </w:r>
    </w:p>
    <w:p>
      <w:r>
        <w:t>GA3DConv（Geometry-Adaptive 3D Convolution）は、通常の3Dカーネルに、位置ごとに変化する近傍重みを導入する設計案である。これは仮称であり、既存研究に対する新規性が確立しているという意味ではない。</w:t>
      </w:r>
    </w:p>
    <w:p>
      <w:pPr>
        <w:pStyle w:val="Heading2"/>
        <w:keepNext/>
      </w:pPr>
      <w:r>
        <w:t>3.1 基本演算</w:t>
      </w:r>
    </w:p>
    <w:p>
      <w:pPr>
        <w:jc w:val="center"/>
      </w:pPr>
      <w:r>
        <w:rPr>
          <w:rFonts w:ascii="Cambria Math" w:hAnsi="Cambria Math"/>
          <w:sz w:val="22"/>
        </w:rPr>
        <w:t>Y_o(p) = Σ_c Σ_{r∈N} W_{o,c,r} α(p,r) X_c(p+r)</w:t>
      </w:r>
    </w:p>
    <w:p>
      <w:r>
        <w:t>Wは共有されたカーネル重み、α(p,r)は中心pから近傍p+rへの情報伝達量を調整する適応係数である。αを入力特徴から計算することで、同じ相対位置でも場所に応じた寄与を変えられる。</w:t>
      </w:r>
    </w:p>
    <w:p>
      <w:pPr>
        <w:pStyle w:val="Heading2"/>
        <w:keepNext/>
      </w:pPr>
      <w:r>
        <w:t>3.2 特徴差に基づく境界ゲート</w:t>
      </w:r>
    </w:p>
    <w:p>
      <w:pPr>
        <w:jc w:val="center"/>
      </w:pPr>
      <w:r>
        <w:rPr>
          <w:rFonts w:ascii="Cambria Math" w:hAnsi="Cambria Math"/>
          <w:sz w:val="22"/>
        </w:rPr>
        <w:t>s(p,r) = ||X(p) − X(p+r)||² / τ</w:t>
      </w:r>
    </w:p>
    <w:p>
      <w:pPr>
        <w:jc w:val="center"/>
      </w:pPr>
      <w:r>
        <w:rPr>
          <w:rFonts w:ascii="Cambria Math" w:hAnsi="Cambria Math"/>
          <w:sz w:val="22"/>
        </w:rPr>
        <w:t>α_b(p,r) = exp(−s(p,r))</w:t>
      </w:r>
    </w:p>
    <w:p>
      <w:r>
        <w:t>τはスケール係数である。特徴差が大きい近傍の寄与を抑える単純な例だが、特徴差は真の境界だけでなくノイズやテクスチャ差にも反応する。したがって、この式だけでは回転等変性もセグメンテーション性能も保証しない。</w:t>
      </w:r>
    </w:p>
    <w:p>
      <w:pPr>
        <w:pStyle w:val="Heading2"/>
        <w:keepNext/>
      </w:pPr>
      <w:r>
        <w:t>3.3 方向適応の例</w:t>
      </w:r>
    </w:p>
    <w:p>
      <w:pPr>
        <w:jc w:val="center"/>
      </w:pPr>
      <w:r>
        <w:rPr>
          <w:rFonts w:ascii="Cambria Math" w:hAnsi="Cambria Math"/>
          <w:sz w:val="22"/>
        </w:rPr>
        <w:t>a(p,r) = | v(p)ᵀ r̂ |,   r̂ = r / ||r||</w:t>
      </w:r>
    </w:p>
    <w:p>
      <w:pPr>
        <w:jc w:val="center"/>
      </w:pPr>
      <w:r>
        <w:rPr>
          <w:rFonts w:ascii="Cambria Math" w:hAnsi="Cambria Math"/>
          <w:sz w:val="22"/>
        </w:rPr>
        <w:t>α(p,r) = α_b(p,r) exp(β a(p,r))</w:t>
      </w:r>
    </w:p>
    <w:p>
      <w:r>
        <w:t>v(p)は単位方向ベクトル、βは方向性の強さである。方向に沿う情報を強める例だが、対象の幾何により垂直方向を強める方が適切な場合もある。さらに、任意の方向推定器が回転と整合しなければ等変性は崩れる。</w:t>
      </w:r>
    </w:p>
    <w:p>
      <w:r>
        <w:t>GA3DConvは、境界・方向の適応機構を検討する基礎案として有用だが、汎用的な回転等変演算として使うには、ゲートの不変性・等変性を別途設計する必要がある。</w:t>
      </w:r>
    </w:p>
    <w:p>
      <w:pPr>
        <w:pStyle w:val="Heading1"/>
        <w:keepNext/>
      </w:pPr>
      <w:r>
        <w:t>4. 研究候補B：境界場と形状場を分けるDual-Field案</w:t>
      </w:r>
    </w:p>
    <w:p>
      <w:r>
        <w:t>境界の推定と形状・方向の推定を単一の特徴差に押し込まず、別々の場として学習する案である。</w:t>
      </w:r>
    </w:p>
    <w:p>
      <w:pPr>
        <w:jc w:val="center"/>
      </w:pPr>
      <w:r>
        <w:rPr>
          <w:rFonts w:ascii="Cambria Math" w:hAnsi="Cambria Math"/>
          <w:sz w:val="22"/>
        </w:rPr>
        <w:t>B(p) = σ(f_θ(X)(p))</w:t>
      </w:r>
    </w:p>
    <w:p>
      <w:pPr>
        <w:jc w:val="center"/>
      </w:pPr>
      <w:r>
        <w:rPr>
          <w:rFonts w:ascii="Cambria Math" w:hAnsi="Cambria Math"/>
          <w:sz w:val="22"/>
        </w:rPr>
        <w:t>B̄(p,r) = [B(p) + B(p+r)] / 2</w:t>
      </w:r>
    </w:p>
    <w:p>
      <w:pPr>
        <w:jc w:val="center"/>
      </w:pPr>
      <w:r>
        <w:rPr>
          <w:rFonts w:ascii="Cambria Math" w:hAnsi="Cambria Math"/>
          <w:sz w:val="22"/>
        </w:rPr>
        <w:t>α(p,r) = exp(−λ B̄(p,r)) · g_φ(G(p), r)</w:t>
      </w:r>
    </w:p>
    <w:p>
      <w:r>
        <w:t>B(p)は境界確率、G(p)は形状・方向を表す場、λは境界抑制の強さ、gφは形状場と相対位置から重みを算出する関数である。</w:t>
      </w:r>
    </w:p>
    <w:p>
      <w:r>
        <w:t>利点は境界と形状の役割を分けて分析できること。課題は、境界近傍の情報を抑えすぎると細い構造や境界両側の識別に必要な情報まで失う可能性があること。残差経路や境界専用ヘッドとの併用を検討する。</w:t>
      </w:r>
    </w:p>
    <w:p>
      <w:r>
        <w:t>回転等変性を要求する場合、Bはスカラー不変場として扱い、Gは回転に整合した表現として設計する必要がある。方向ベクトルを単純に通常のCNNで予測するだけでは保証にならない。</w:t>
      </w:r>
    </w:p>
    <w:p>
      <w:pPr>
        <w:pStyle w:val="Heading1"/>
        <w:keepNext/>
      </w:pPr>
      <w:r>
        <w:t>5. 中心提案：Invariant-Gated Steerable Convolution（IGSC）</w:t>
      </w:r>
    </w:p>
    <w:p>
      <w:r>
        <w:t>IGSCは、回転等変なカーネルと、回転不変な局所ゲートを組み合わせる研究案である。中心仮説は、等変な特徴変換を維持したまま、局所的な形状や特徴の関係に応じて近傍情報の伝達を調整できる、というもの。</w:t>
      </w:r>
    </w:p>
    <w:p>
      <w:pPr>
        <w:pStyle w:val="Heading2"/>
        <w:keepNext/>
      </w:pPr>
      <w:r>
        <w:t>5.1 特徴表現</w:t>
      </w:r>
    </w:p>
    <w:p>
      <w:pPr>
        <w:jc w:val="center"/>
      </w:pPr>
      <w:r>
        <w:rPr>
          <w:rFonts w:ascii="Cambria Math" w:hAnsi="Cambria Math"/>
          <w:sz w:val="22"/>
        </w:rPr>
        <w:t>F(x) = (F⁽⁰⁾(x), F⁽¹⁾(x), F⁽²⁾(x), …)</w:t>
      </w:r>
    </w:p>
    <w:p>
      <w:r>
        <w:t>F⁽⁰⁾はスカラー、F⁽¹⁾はベクトル、F⁽²⁾以降は高次の既約表現に対応する特徴である。次数ℓの特徴は2ℓ+1成分を持ち、回転Rに対して表現行列D⁽ℓ⁾(R)に従って変換される。</w:t>
      </w:r>
    </w:p>
    <w:p>
      <w:pPr>
        <w:jc w:val="center"/>
      </w:pPr>
      <w:r>
        <w:rPr>
          <w:rFonts w:ascii="Cambria Math" w:hAnsi="Cambria Math"/>
          <w:sz w:val="22"/>
        </w:rPr>
        <w:t>F⁽ℓ⁾(Rx) = D⁽ℓ⁾(R) F⁽ℓ⁾(x)</w:t>
      </w:r>
    </w:p>
    <w:p>
      <w:pPr>
        <w:pStyle w:val="Heading2"/>
        <w:keepNext/>
      </w:pPr>
      <w:r>
        <w:t>5.2 等変カーネル</w:t>
      </w:r>
    </w:p>
    <w:p>
      <w:pPr>
        <w:jc w:val="center"/>
      </w:pPr>
      <w:r>
        <w:rPr>
          <w:rFonts w:ascii="Cambria Math" w:hAnsi="Cambria Math"/>
          <w:sz w:val="22"/>
        </w:rPr>
        <w:t>K_{ℓo,ℓi}(r) = Σ_{ℓk,m} φ_{ℓi,ℓo,ℓk}(||r||) Y_{ℓk m}(r̂) C_{ℓi,ℓk→ℓo,m}</w:t>
      </w:r>
    </w:p>
    <w:p>
      <w:r>
        <w:t>Yℓkmは球面調和関数、φは学習可能な半径方向基底、Cは表現を結合するClebsch–Gordan係数である。実装時には表現規約・正規化・許容される次数の組み合わせを明示する必要がある。</w:t>
      </w:r>
    </w:p>
    <w:p>
      <w:pPr>
        <w:pStyle w:val="Heading2"/>
        <w:keepNext/>
      </w:pPr>
      <w:r>
        <w:t>5.3 不変ゲート</w:t>
      </w:r>
    </w:p>
    <w:p>
      <w:pPr>
        <w:jc w:val="center"/>
      </w:pPr>
      <w:r>
        <w:rPr>
          <w:rFonts w:ascii="Cambria Math" w:hAnsi="Cambria Math"/>
          <w:sz w:val="22"/>
        </w:rPr>
        <w:t>q(x,r) = MLP(F⁽⁰⁾(x), F⁽⁰⁾(x+r), ||F⁽¹⁾(x)||, ||F⁽¹⁾(x+r)||, ||r||)</w:t>
      </w:r>
    </w:p>
    <w:p>
      <w:pPr>
        <w:jc w:val="center"/>
      </w:pPr>
      <w:r>
        <w:rPr>
          <w:rFonts w:ascii="Cambria Math" w:hAnsi="Cambria Math"/>
          <w:sz w:val="22"/>
        </w:rPr>
        <w:t>a(x,r) = σ(q(x,r))</w:t>
      </w:r>
    </w:p>
    <w:p>
      <w:r>
        <w:t>ゲートは回転不変な量から算出する。ベクトルノルムは回転で変わらないため、適切な特徴表現と実装の下で、ゲートは回転不変スカラーとして扱える。高次特徴を使う場合も、単純な成分値ではなく不変な内積・ノルム等を使う。</w:t>
      </w:r>
    </w:p>
    <w:p>
      <w:pPr>
        <w:pStyle w:val="Heading2"/>
        <w:keepNext/>
      </w:pPr>
      <w:r>
        <w:t>5.4 提案演算</w:t>
      </w:r>
    </w:p>
    <w:p>
      <w:pPr>
        <w:jc w:val="center"/>
      </w:pPr>
      <w:r>
        <w:rPr>
          <w:rFonts w:ascii="Cambria Math" w:hAnsi="Cambria Math"/>
          <w:sz w:val="22"/>
        </w:rPr>
        <w:t>F'⁽ℓo⁾(x) = Σ_{ℓi} ∫ a(x,r) K_{ℓo,ℓi}(r) F⁽ℓi⁾(x+r) dr</w:t>
      </w:r>
    </w:p>
    <w:p>
      <w:r>
        <w:t>この演算では、等変カーネルによる特徴変換と不変ゲートによる局所適応を組み合わせる。ゲートが回転不変で、カーネルが正しい等変条件を満たし、積分領域と測度が回転に対して整合するなら、連続空間で等変性を保てる設計となる。</w:t>
      </w:r>
    </w:p>
    <w:p>
      <w:pPr>
        <w:pStyle w:val="Heading2"/>
        <w:keepNext/>
      </w:pPr>
      <w:r>
        <w:t>5.5 等変性の直観</w:t>
      </w:r>
    </w:p>
    <w:p>
      <w:r>
        <w:t>入力を回転すると、特徴場はその表現に従って変換される。ゲートは回転不変量から作るため同じスカラー重みを返し、カーネルが回転に整合するため、出力は対応する回転表現に従う。ただし、実際の離散化・補間・近傍探索・境界条件による誤差は測定しなければならない。</w:t>
      </w:r>
    </w:p>
    <w:p>
      <w:pPr>
        <w:pStyle w:val="Heading1"/>
        <w:keepNext/>
      </w:pPr>
      <w:r>
        <w:t>6. 既存研究との差分と新規性の見立て</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20"/>
            </w:pPr>
            <w:r/>
            <w:r>
              <w:rPr>
                <w:rFonts w:ascii="Yu Gothic" w:hAnsi="Yu Gothic" w:eastAsia="游ゴシック"/>
                <w:b/>
                <w:sz w:val="18"/>
              </w:rPr>
              <w:t>既存系統</w:t>
            </w:r>
          </w:p>
        </w:tc>
        <w:tc>
          <w:tcPr>
            <w:tcW w:type="dxa" w:w="3312"/>
            <w:vAlign w:val="center"/>
            <w:shd w:fill="D9EAF7"/>
          </w:tcPr>
          <w:p>
            <w:pPr>
              <w:spacing w:after="20"/>
            </w:pPr>
            <w:r/>
            <w:r>
              <w:rPr>
                <w:rFonts w:ascii="Yu Gothic" w:hAnsi="Yu Gothic" w:eastAsia="游ゴシック"/>
                <w:b/>
                <w:sz w:val="18"/>
              </w:rPr>
              <w:t>既に実現されていること</w:t>
            </w:r>
          </w:p>
        </w:tc>
        <w:tc>
          <w:tcPr>
            <w:tcW w:type="dxa" w:w="3312"/>
            <w:vAlign w:val="center"/>
            <w:shd w:fill="D9EAF7"/>
          </w:tcPr>
          <w:p>
            <w:pPr>
              <w:spacing w:after="20"/>
            </w:pPr>
            <w:r/>
            <w:r>
              <w:rPr>
                <w:rFonts w:ascii="Yu Gothic" w:hAnsi="Yu Gothic" w:eastAsia="游ゴシック"/>
                <w:b/>
                <w:sz w:val="18"/>
              </w:rPr>
              <w:t>本研究で必要な差分</w:t>
            </w:r>
          </w:p>
        </w:tc>
      </w:tr>
      <w:tr>
        <w:tc>
          <w:tcPr>
            <w:tcW w:type="dxa" w:w="3312"/>
            <w:vAlign w:val="center"/>
          </w:tcPr>
          <w:p>
            <w:pPr>
              <w:spacing w:after="20"/>
            </w:pPr>
            <w:r/>
            <w:r>
              <w:rPr>
                <w:rFonts w:ascii="Yu Gothic" w:hAnsi="Yu Gothic" w:eastAsia="游ゴシック"/>
                <w:b w:val="0"/>
                <w:sz w:val="18"/>
              </w:rPr>
              <w:t>3D Steerable CNN / Tensor Field Network</w:t>
            </w:r>
          </w:p>
        </w:tc>
        <w:tc>
          <w:tcPr>
            <w:tcW w:type="dxa" w:w="3312"/>
            <w:vAlign w:val="center"/>
          </w:tcPr>
          <w:p>
            <w:pPr>
              <w:spacing w:after="20"/>
            </w:pPr>
            <w:r/>
            <w:r>
              <w:rPr>
                <w:rFonts w:ascii="Yu Gothic" w:hAnsi="Yu Gothic" w:eastAsia="游ゴシック"/>
                <w:b w:val="0"/>
                <w:sz w:val="18"/>
              </w:rPr>
              <w:t>SO(3)等変な特徴・カーネル構成</w:t>
            </w:r>
          </w:p>
        </w:tc>
        <w:tc>
          <w:tcPr>
            <w:tcW w:type="dxa" w:w="3312"/>
            <w:vAlign w:val="center"/>
          </w:tcPr>
          <w:p>
            <w:pPr>
              <w:spacing w:after="20"/>
            </w:pPr>
            <w:r/>
            <w:r>
              <w:rPr>
                <w:rFonts w:ascii="Yu Gothic" w:hAnsi="Yu Gothic" w:eastAsia="游ゴシック"/>
                <w:b w:val="0"/>
                <w:sz w:val="18"/>
              </w:rPr>
              <w:t>不変ゲートが既存のゲーティングや注意機構と異なる理論的性質を持つか</w:t>
            </w:r>
          </w:p>
        </w:tc>
      </w:tr>
      <w:tr>
        <w:tc>
          <w:tcPr>
            <w:tcW w:type="dxa" w:w="3312"/>
            <w:vAlign w:val="center"/>
          </w:tcPr>
          <w:p>
            <w:pPr>
              <w:spacing w:after="20"/>
            </w:pPr>
            <w:r/>
            <w:r>
              <w:rPr>
                <w:rFonts w:ascii="Yu Gothic" w:hAnsi="Yu Gothic" w:eastAsia="游ゴシック"/>
                <w:b w:val="0"/>
                <w:sz w:val="18"/>
              </w:rPr>
              <w:t>Deformable Convolution</w:t>
            </w:r>
          </w:p>
        </w:tc>
        <w:tc>
          <w:tcPr>
            <w:tcW w:type="dxa" w:w="3312"/>
            <w:vAlign w:val="center"/>
          </w:tcPr>
          <w:p>
            <w:pPr>
              <w:spacing w:after="20"/>
            </w:pPr>
            <w:r/>
            <w:r>
              <w:rPr>
                <w:rFonts w:ascii="Yu Gothic" w:hAnsi="Yu Gothic" w:eastAsia="游ゴシック"/>
                <w:b w:val="0"/>
                <w:sz w:val="18"/>
              </w:rPr>
              <w:t>入力に応じてサンプリング位置を変更</w:t>
            </w:r>
          </w:p>
        </w:tc>
        <w:tc>
          <w:tcPr>
            <w:tcW w:type="dxa" w:w="3312"/>
            <w:vAlign w:val="center"/>
          </w:tcPr>
          <w:p>
            <w:pPr>
              <w:spacing w:after="20"/>
            </w:pPr>
            <w:r/>
            <w:r>
              <w:rPr>
                <w:rFonts w:ascii="Yu Gothic" w:hAnsi="Yu Gothic" w:eastAsia="游ゴシック"/>
                <w:b w:val="0"/>
                <w:sz w:val="18"/>
              </w:rPr>
              <w:t>位置変形ではなく等変な情報伝達係数を使う利点を示す</w:t>
            </w:r>
          </w:p>
        </w:tc>
      </w:tr>
      <w:tr>
        <w:tc>
          <w:tcPr>
            <w:tcW w:type="dxa" w:w="3312"/>
            <w:vAlign w:val="center"/>
          </w:tcPr>
          <w:p>
            <w:pPr>
              <w:spacing w:after="20"/>
            </w:pPr>
            <w:r/>
            <w:r>
              <w:rPr>
                <w:rFonts w:ascii="Yu Gothic" w:hAnsi="Yu Gothic" w:eastAsia="游ゴシック"/>
                <w:b w:val="0"/>
                <w:sz w:val="18"/>
              </w:rPr>
              <w:t>回転データ拡張</w:t>
            </w:r>
          </w:p>
        </w:tc>
        <w:tc>
          <w:tcPr>
            <w:tcW w:type="dxa" w:w="3312"/>
            <w:vAlign w:val="center"/>
          </w:tcPr>
          <w:p>
            <w:pPr>
              <w:spacing w:after="20"/>
            </w:pPr>
            <w:r/>
            <w:r>
              <w:rPr>
                <w:rFonts w:ascii="Yu Gothic" w:hAnsi="Yu Gothic" w:eastAsia="游ゴシック"/>
                <w:b w:val="0"/>
                <w:sz w:val="18"/>
              </w:rPr>
              <w:t>訓練時に回転例を増やす</w:t>
            </w:r>
          </w:p>
        </w:tc>
        <w:tc>
          <w:tcPr>
            <w:tcW w:type="dxa" w:w="3312"/>
            <w:vAlign w:val="center"/>
          </w:tcPr>
          <w:p>
            <w:pPr>
              <w:spacing w:after="20"/>
            </w:pPr>
            <w:r/>
            <w:r>
              <w:rPr>
                <w:rFonts w:ascii="Yu Gothic" w:hAnsi="Yu Gothic" w:eastAsia="游ゴシック"/>
                <w:b w:val="0"/>
                <w:sz w:val="18"/>
              </w:rPr>
              <w:t>未学習回転での誤差・データ効率・計算効率を比較</w:t>
            </w:r>
          </w:p>
        </w:tc>
      </w:tr>
      <w:tr>
        <w:tc>
          <w:tcPr>
            <w:tcW w:type="dxa" w:w="3312"/>
            <w:vAlign w:val="center"/>
          </w:tcPr>
          <w:p>
            <w:pPr>
              <w:spacing w:after="20"/>
            </w:pPr>
            <w:r/>
            <w:r>
              <w:rPr>
                <w:rFonts w:ascii="Yu Gothic" w:hAnsi="Yu Gothic" w:eastAsia="游ゴシック"/>
                <w:b w:val="0"/>
                <w:sz w:val="18"/>
              </w:rPr>
              <w:t>注意機構 / Edge-aware message passing</w:t>
            </w:r>
          </w:p>
        </w:tc>
        <w:tc>
          <w:tcPr>
            <w:tcW w:type="dxa" w:w="3312"/>
            <w:vAlign w:val="center"/>
          </w:tcPr>
          <w:p>
            <w:pPr>
              <w:spacing w:after="20"/>
            </w:pPr>
            <w:r/>
            <w:r>
              <w:rPr>
                <w:rFonts w:ascii="Yu Gothic" w:hAnsi="Yu Gothic" w:eastAsia="游ゴシック"/>
                <w:b w:val="0"/>
                <w:sz w:val="18"/>
              </w:rPr>
              <w:t>近傍の寄与を入力依存で変更</w:t>
            </w:r>
          </w:p>
        </w:tc>
        <w:tc>
          <w:tcPr>
            <w:tcW w:type="dxa" w:w="3312"/>
            <w:vAlign w:val="center"/>
          </w:tcPr>
          <w:p>
            <w:pPr>
              <w:spacing w:after="20"/>
            </w:pPr>
            <w:r/>
            <w:r>
              <w:rPr>
                <w:rFonts w:ascii="Yu Gothic" w:hAnsi="Yu Gothic" w:eastAsia="游ゴシック"/>
                <w:b w:val="0"/>
                <w:sz w:val="18"/>
              </w:rPr>
              <w:t>不変ゲートと等変カーネルの組合せに特有の保証・性能を示す</w:t>
            </w:r>
          </w:p>
        </w:tc>
      </w:tr>
      <w:tr>
        <w:tc>
          <w:tcPr>
            <w:tcW w:type="dxa" w:w="3312"/>
            <w:vAlign w:val="center"/>
          </w:tcPr>
          <w:p>
            <w:pPr>
              <w:spacing w:after="20"/>
            </w:pPr>
            <w:r/>
            <w:r>
              <w:rPr>
                <w:rFonts w:ascii="Yu Gothic" w:hAnsi="Yu Gothic" w:eastAsia="游ゴシック"/>
                <w:b w:val="0"/>
                <w:sz w:val="18"/>
              </w:rPr>
              <w:t>連続座標カーネル</w:t>
            </w:r>
          </w:p>
        </w:tc>
        <w:tc>
          <w:tcPr>
            <w:tcW w:type="dxa" w:w="3312"/>
            <w:vAlign w:val="center"/>
          </w:tcPr>
          <w:p>
            <w:pPr>
              <w:spacing w:after="20"/>
            </w:pPr>
            <w:r/>
            <w:r>
              <w:rPr>
                <w:rFonts w:ascii="Yu Gothic" w:hAnsi="Yu Gothic" w:eastAsia="游ゴシック"/>
                <w:b w:val="0"/>
                <w:sz w:val="18"/>
              </w:rPr>
              <w:t>座標ベースのカーネルや効率化</w:t>
            </w:r>
          </w:p>
        </w:tc>
        <w:tc>
          <w:tcPr>
            <w:tcW w:type="dxa" w:w="3312"/>
            <w:vAlign w:val="center"/>
          </w:tcPr>
          <w:p>
            <w:pPr>
              <w:spacing w:after="20"/>
            </w:pPr>
            <w:r/>
            <w:r>
              <w:rPr>
                <w:rFonts w:ascii="Yu Gothic" w:hAnsi="Yu Gothic" w:eastAsia="游ゴシック"/>
                <w:b w:val="0"/>
                <w:sz w:val="18"/>
              </w:rPr>
              <w:t>同じ対象領域・計算予算で、提案ゲートが何を改善するかを示す</w:t>
            </w:r>
          </w:p>
        </w:tc>
      </w:tr>
    </w:tbl>
    <w:p/>
    <w:p>
      <w:r>
        <w:t>「ゲートを追加した」だけでは新規性が弱い可能性がある。提案前に、ゲーティング付き等変CNN、テンソル場ネットワーク、回転等変セグメンテーション、連続座標カーネルの関連論文を数式・表現・計算量・タスクごとに比較する。</w:t>
      </w:r>
    </w:p>
    <w:p>
      <w:r>
        <w:t>新規性の候補は、(1) 等変性を保つゲートの条件の一般化、(2) 境界場と形状場を分離した等変な情報伝達、(3) 離散化形式をまたぐ共通演算定義、(4) 等変性・表現力・計算量の理論分析、などである。これらはいずれも現時点では検証すべき仮説である。</w:t>
      </w:r>
    </w:p>
    <w:p>
      <w:pPr>
        <w:pStyle w:val="Heading1"/>
        <w:keepNext/>
      </w:pPr>
      <w:r>
        <w:t>7. PyTorch参照実装：点群上のスカラー版</w:t>
      </w:r>
    </w:p>
    <w:p>
      <w:r>
        <w:t>最初のプロトタイプとして、相対距離とスカラー特徴から近傍重みを計算する点群演算を実装する。これは回転不変なスカラー特徴の集約を確認するための最小版であり、球面調和関数・高次表現・Clebsch–Gordan結合を備えた完全なIGSCではない。</w:t>
      </w:r>
    </w:p>
    <w:p>
      <w:pPr>
        <w:pStyle w:val="CodeBlock"/>
      </w:pPr>
      <w:r>
        <w:t>import torch</w:t>
      </w:r>
    </w:p>
    <w:p>
      <w:pPr>
        <w:pStyle w:val="CodeBlock"/>
      </w:pPr>
      <w:r>
        <w:t>import torch.nn as nn</w:t>
      </w:r>
    </w:p>
    <w:p>
      <w:pPr>
        <w:pStyle w:val="CodeBlock"/>
      </w:pPr>
      <w:r>
        <w:t>import torch.nn.functional as F</w:t>
      </w:r>
    </w:p>
    <w:p>
      <w:pPr>
        <w:pStyle w:val="CodeBlock"/>
      </w:pPr>
      <w:r>
        <w:t xml:space="preserve"> </w:t>
      </w:r>
    </w:p>
    <w:p>
      <w:pPr>
        <w:pStyle w:val="CodeBlock"/>
      </w:pPr>
      <w:r>
        <w:t xml:space="preserve"> </w:t>
      </w:r>
    </w:p>
    <w:p>
      <w:pPr>
        <w:pStyle w:val="CodeBlock"/>
      </w:pPr>
      <w:r>
        <w:t>class InvariantGatedPointConv(nn.Module):</w:t>
      </w:r>
    </w:p>
    <w:p>
      <w:pPr>
        <w:pStyle w:val="CodeBlock"/>
      </w:pPr>
      <w:r>
        <w:t xml:space="preserve">    """</w:t>
      </w:r>
    </w:p>
    <w:p>
      <w:pPr>
        <w:pStyle w:val="CodeBlock"/>
      </w:pPr>
      <w:r>
        <w:t xml:space="preserve">    Scalar-feature prototype.</w:t>
      </w:r>
    </w:p>
    <w:p>
      <w:pPr>
        <w:pStyle w:val="CodeBlock"/>
      </w:pPr>
      <w:r>
        <w:t xml:space="preserve">    x: [B, N, 3]    point coordinates</w:t>
      </w:r>
    </w:p>
    <w:p>
      <w:pPr>
        <w:pStyle w:val="CodeBlock"/>
      </w:pPr>
      <w:r>
        <w:t xml:space="preserve">    h: [B, N, Cin]  scalar features</w:t>
      </w:r>
    </w:p>
    <w:p>
      <w:pPr>
        <w:pStyle w:val="CodeBlock"/>
      </w:pPr>
      <w:r>
        <w:t xml:space="preserve">    output: [B, N, Cout]</w:t>
      </w:r>
    </w:p>
    <w:p>
      <w:pPr>
        <w:pStyle w:val="CodeBlock"/>
      </w:pPr>
      <w:r>
        <w:t xml:space="preserve">    """</w:t>
      </w:r>
    </w:p>
    <w:p>
      <w:pPr>
        <w:pStyle w:val="CodeBlock"/>
      </w:pPr>
      <w:r>
        <w:t xml:space="preserve">    def __init__(self, cin, cout, hidden=64):</w:t>
      </w:r>
    </w:p>
    <w:p>
      <w:pPr>
        <w:pStyle w:val="CodeBlock"/>
      </w:pPr>
      <w:r>
        <w:t xml:space="preserve">        super().__init__()</w:t>
      </w:r>
    </w:p>
    <w:p>
      <w:pPr>
        <w:pStyle w:val="CodeBlock"/>
      </w:pPr>
      <w:r>
        <w:t xml:space="preserve">        self.self_proj = nn.Linear(cin, cout, bias=False)</w:t>
      </w:r>
    </w:p>
    <w:p>
      <w:pPr>
        <w:pStyle w:val="CodeBlock"/>
      </w:pPr>
      <w:r>
        <w:t xml:space="preserve">        self.neighbor_proj = nn.Linear(cin, cout, bias=False)</w:t>
      </w:r>
    </w:p>
    <w:p>
      <w:pPr>
        <w:pStyle w:val="CodeBlock"/>
      </w:pPr>
      <w:r>
        <w:t xml:space="preserve">        self.radial = nn.Sequential(</w:t>
      </w:r>
    </w:p>
    <w:p>
      <w:pPr>
        <w:pStyle w:val="CodeBlock"/>
      </w:pPr>
      <w:r>
        <w:t xml:space="preserve">            nn.Linear(1, hidden), nn.SiLU(),</w:t>
      </w:r>
    </w:p>
    <w:p>
      <w:pPr>
        <w:pStyle w:val="CodeBlock"/>
      </w:pPr>
      <w:r>
        <w:t xml:space="preserve">            nn.Linear(hidden, cout)</w:t>
      </w:r>
    </w:p>
    <w:p>
      <w:pPr>
        <w:pStyle w:val="CodeBlock"/>
      </w:pPr>
      <w:r>
        <w:t xml:space="preserve">        )</w:t>
      </w:r>
    </w:p>
    <w:p>
      <w:pPr>
        <w:pStyle w:val="CodeBlock"/>
      </w:pPr>
      <w:r>
        <w:t xml:space="preserve">        self.gate = nn.Sequential(</w:t>
      </w:r>
    </w:p>
    <w:p>
      <w:pPr>
        <w:pStyle w:val="CodeBlock"/>
      </w:pPr>
      <w:r>
        <w:t xml:space="preserve">            nn.Linear(2 * cin + 1, hidden), nn.SiLU(),</w:t>
      </w:r>
    </w:p>
    <w:p>
      <w:pPr>
        <w:pStyle w:val="CodeBlock"/>
      </w:pPr>
      <w:r>
        <w:t xml:space="preserve">            nn.Linear(hidden, 1)</w:t>
      </w:r>
    </w:p>
    <w:p>
      <w:pPr>
        <w:pStyle w:val="CodeBlock"/>
      </w:pPr>
      <w:r>
        <w:t xml:space="preserve">        )</w:t>
      </w:r>
    </w:p>
    <w:p>
      <w:pPr>
        <w:pStyle w:val="CodeBlock"/>
      </w:pPr>
      <w:r>
        <w:t xml:space="preserve">        self.norm = nn.LayerNorm(cout)</w:t>
      </w:r>
    </w:p>
    <w:p>
      <w:pPr>
        <w:pStyle w:val="CodeBlock"/>
      </w:pPr>
      <w:r>
        <w:t xml:space="preserve"> </w:t>
      </w:r>
    </w:p>
    <w:p>
      <w:pPr>
        <w:pStyle w:val="CodeBlock"/>
      </w:pPr>
      <w:r>
        <w:t xml:space="preserve">    def forward(self, x, h):</w:t>
      </w:r>
    </w:p>
    <w:p>
      <w:pPr>
        <w:pStyle w:val="CodeBlock"/>
      </w:pPr>
      <w:r>
        <w:t xml:space="preserve">        # delta[b, i, j] = x_j - x_i</w:t>
      </w:r>
    </w:p>
    <w:p>
      <w:pPr>
        <w:pStyle w:val="CodeBlock"/>
      </w:pPr>
      <w:r>
        <w:t xml:space="preserve">        delta = x[:, None, :, :] - x[:, :, None, :]</w:t>
      </w:r>
    </w:p>
    <w:p>
      <w:pPr>
        <w:pStyle w:val="CodeBlock"/>
      </w:pPr>
      <w:r>
        <w:t xml:space="preserve">        dist = torch.linalg.vector_norm(</w:t>
      </w:r>
    </w:p>
    <w:p>
      <w:pPr>
        <w:pStyle w:val="CodeBlock"/>
      </w:pPr>
      <w:r>
        <w:t xml:space="preserve">            delta, dim=-1, keepdim=True</w:t>
      </w:r>
    </w:p>
    <w:p>
      <w:pPr>
        <w:pStyle w:val="CodeBlock"/>
      </w:pPr>
      <w:r>
        <w:t xml:space="preserve">        )  # [B, N, N, 1]</w:t>
      </w:r>
    </w:p>
    <w:p>
      <w:pPr>
        <w:pStyle w:val="CodeBlock"/>
      </w:pPr>
      <w:r>
        <w:t xml:space="preserve"> </w:t>
      </w:r>
    </w:p>
    <w:p>
      <w:pPr>
        <w:pStyle w:val="CodeBlock"/>
      </w:pPr>
      <w:r>
        <w:t xml:space="preserve">        n = h.shape[1]</w:t>
      </w:r>
    </w:p>
    <w:p>
      <w:pPr>
        <w:pStyle w:val="CodeBlock"/>
      </w:pPr>
      <w:r>
        <w:t xml:space="preserve">        hi = h[:, :, None, :].expand(-1, -1, n, -1)</w:t>
      </w:r>
    </w:p>
    <w:p>
      <w:pPr>
        <w:pStyle w:val="CodeBlock"/>
      </w:pPr>
      <w:r>
        <w:t xml:space="preserve">        hj = h[:, None, :, :].expand(-1, n, -1, -1)</w:t>
      </w:r>
    </w:p>
    <w:p>
      <w:pPr>
        <w:pStyle w:val="CodeBlock"/>
      </w:pPr>
      <w:r>
        <w:t xml:space="preserve"> </w:t>
      </w:r>
    </w:p>
    <w:p>
      <w:pPr>
        <w:pStyle w:val="CodeBlock"/>
      </w:pPr>
      <w:r>
        <w:t xml:space="preserve">        logits = self.gate(</w:t>
      </w:r>
    </w:p>
    <w:p>
      <w:pPr>
        <w:pStyle w:val="CodeBlock"/>
      </w:pPr>
      <w:r>
        <w:t xml:space="preserve">            torch.cat([hi, hj, dist], dim=-1)</w:t>
      </w:r>
    </w:p>
    <w:p>
      <w:pPr>
        <w:pStyle w:val="CodeBlock"/>
      </w:pPr>
      <w:r>
        <w:t xml:space="preserve">        ).squeeze(-1)</w:t>
      </w:r>
    </w:p>
    <w:p>
      <w:pPr>
        <w:pStyle w:val="CodeBlock"/>
      </w:pPr>
      <w:r>
        <w:t xml:space="preserve">        weights = F.softmax(logits, dim=-1)</w:t>
      </w:r>
    </w:p>
    <w:p>
      <w:pPr>
        <w:pStyle w:val="CodeBlock"/>
      </w:pPr>
      <w:r>
        <w:t xml:space="preserve"> </w:t>
      </w:r>
    </w:p>
    <w:p>
      <w:pPr>
        <w:pStyle w:val="CodeBlock"/>
      </w:pPr>
      <w:r>
        <w:t xml:space="preserve">        radial_weight = self.radial(dist)</w:t>
      </w:r>
    </w:p>
    <w:p>
      <w:pPr>
        <w:pStyle w:val="CodeBlock"/>
      </w:pPr>
      <w:r>
        <w:t xml:space="preserve">        neighbor_features = self.neighbor_proj(h)[:, None, :, :]</w:t>
      </w:r>
    </w:p>
    <w:p>
      <w:pPr>
        <w:pStyle w:val="CodeBlock"/>
      </w:pPr>
      <w:r>
        <w:t xml:space="preserve">        messages = neighbor_features * radial_weight</w:t>
      </w:r>
    </w:p>
    <w:p>
      <w:pPr>
        <w:pStyle w:val="CodeBlock"/>
      </w:pPr>
      <w:r>
        <w:t xml:space="preserve">        aggregated = (weights.unsqueeze(-1) * messages).sum(dim=2)</w:t>
      </w:r>
    </w:p>
    <w:p>
      <w:pPr>
        <w:pStyle w:val="CodeBlock"/>
      </w:pPr>
      <w:r>
        <w:t xml:space="preserve"> </w:t>
      </w:r>
    </w:p>
    <w:p>
      <w:pPr>
        <w:pStyle w:val="CodeBlock"/>
      </w:pPr>
      <w:r>
        <w:t xml:space="preserve">        out = self.self_proj(h) + aggregated</w:t>
      </w:r>
    </w:p>
    <w:p>
      <w:pPr>
        <w:pStyle w:val="CodeBlock"/>
      </w:pPr>
      <w:r>
        <w:t xml:space="preserve">        return F.silu(self.norm(out))</w:t>
      </w:r>
    </w:p>
    <w:p>
      <w:pPr>
        <w:pStyle w:val="CodeBlock"/>
      </w:pPr>
      <w:r>
        <w:t xml:space="preserve"> </w:t>
      </w:r>
    </w:p>
    <w:p>
      <w:pPr>
        <w:pStyle w:val="CodeBlock"/>
      </w:pPr>
      <w:r>
        <w:t xml:space="preserve"> </w:t>
      </w:r>
    </w:p>
    <w:p>
      <w:pPr>
        <w:pStyle w:val="CodeBlock"/>
      </w:pPr>
      <w:r>
        <w:t>class PointSegmentationModel(nn.Module):</w:t>
      </w:r>
    </w:p>
    <w:p>
      <w:pPr>
        <w:pStyle w:val="CodeBlock"/>
      </w:pPr>
      <w:r>
        <w:t xml:space="preserve">    def __init__(self, in_channels, num_classes, hidden=64):</w:t>
      </w:r>
    </w:p>
    <w:p>
      <w:pPr>
        <w:pStyle w:val="CodeBlock"/>
      </w:pPr>
      <w:r>
        <w:t xml:space="preserve">        super().__init__()</w:t>
      </w:r>
    </w:p>
    <w:p>
      <w:pPr>
        <w:pStyle w:val="CodeBlock"/>
      </w:pPr>
      <w:r>
        <w:t xml:space="preserve">        self.stem = nn.Linear(in_channels, hidden)</w:t>
      </w:r>
    </w:p>
    <w:p>
      <w:pPr>
        <w:pStyle w:val="CodeBlock"/>
      </w:pPr>
      <w:r>
        <w:t xml:space="preserve">        self.conv1 = InvariantGatedPointConv(hidden, hidden)</w:t>
      </w:r>
    </w:p>
    <w:p>
      <w:pPr>
        <w:pStyle w:val="CodeBlock"/>
      </w:pPr>
      <w:r>
        <w:t xml:space="preserve">        self.conv2 = InvariantGatedPointConv(hidden, hidden)</w:t>
      </w:r>
    </w:p>
    <w:p>
      <w:pPr>
        <w:pStyle w:val="CodeBlock"/>
      </w:pPr>
      <w:r>
        <w:t xml:space="preserve">        self.head = nn.Sequential(</w:t>
      </w:r>
    </w:p>
    <w:p>
      <w:pPr>
        <w:pStyle w:val="CodeBlock"/>
      </w:pPr>
      <w:r>
        <w:t xml:space="preserve">            nn.Linear(hidden, hidden), nn.SiLU(),</w:t>
      </w:r>
    </w:p>
    <w:p>
      <w:pPr>
        <w:pStyle w:val="CodeBlock"/>
      </w:pPr>
      <w:r>
        <w:t xml:space="preserve">            nn.Linear(hidden, num_classes)</w:t>
      </w:r>
    </w:p>
    <w:p>
      <w:pPr>
        <w:pStyle w:val="CodeBlock"/>
      </w:pPr>
      <w:r>
        <w:t xml:space="preserve">        )</w:t>
      </w:r>
    </w:p>
    <w:p>
      <w:pPr>
        <w:pStyle w:val="CodeBlock"/>
      </w:pPr>
      <w:r>
        <w:t xml:space="preserve"> </w:t>
      </w:r>
    </w:p>
    <w:p>
      <w:pPr>
        <w:pStyle w:val="CodeBlock"/>
      </w:pPr>
      <w:r>
        <w:t xml:space="preserve">    def forward(self, xyz, features):</w:t>
      </w:r>
    </w:p>
    <w:p>
      <w:pPr>
        <w:pStyle w:val="CodeBlock"/>
      </w:pPr>
      <w:r>
        <w:t xml:space="preserve">        h = self.stem(features)</w:t>
      </w:r>
    </w:p>
    <w:p>
      <w:pPr>
        <w:pStyle w:val="CodeBlock"/>
      </w:pPr>
      <w:r>
        <w:t xml:space="preserve">        h = h + self.conv1(xyz, h)</w:t>
      </w:r>
    </w:p>
    <w:p>
      <w:pPr>
        <w:pStyle w:val="CodeBlock"/>
      </w:pPr>
      <w:r>
        <w:t xml:space="preserve">        h = h + self.conv2(xyz, h)</w:t>
      </w:r>
    </w:p>
    <w:p>
      <w:pPr>
        <w:pStyle w:val="CodeBlock"/>
      </w:pPr>
      <w:r>
        <w:t xml:space="preserve">        return self.head(h)  # [B, N, num_classes]</w:t>
      </w:r>
    </w:p>
    <w:p>
      <w:pPr>
        <w:pStyle w:val="Heading2"/>
        <w:keepNext/>
      </w:pPr>
      <w:r>
        <w:t>7.1 実装上の注意</w:t>
      </w:r>
    </w:p>
    <w:p>
      <w:pPr>
        <w:pStyle w:val="ListBullet"/>
        <w:spacing w:after="40"/>
      </w:pPr>
      <w:r>
        <w:t>全点対全点の距離・ゲート計算を行うため、計算量と中間メモリは概ねO(BN²)で増える。大規模点群ではk近傍または半径近傍を用いる。</w:t>
      </w:r>
    </w:p>
    <w:p>
      <w:pPr>
        <w:pStyle w:val="ListBullet"/>
        <w:spacing w:after="40"/>
      </w:pPr>
      <w:r>
        <w:t>スカラー特徴は回転不変だが、向きを区別する表現力は限られる。この参照実装だけでは高次の形状特徴を完全に表現しない。</w:t>
      </w:r>
    </w:p>
    <w:p>
      <w:pPr>
        <w:pStyle w:val="ListBullet"/>
        <w:spacing w:after="40"/>
      </w:pPr>
      <w:r>
        <w:t>LayerNormやSiLUはスカラー特徴に対して用いている。高次の等変特徴に一般の成分ごとの非線形を適用すると等変性を壊す場合があるため、表現次数に適した非線形を選ぶ。</w:t>
      </w:r>
    </w:p>
    <w:p>
      <w:pPr>
        <w:pStyle w:val="ListBullet"/>
        <w:spacing w:after="40"/>
      </w:pPr>
      <w:r>
        <w:t>コードは概念検証用。勾配、回転変換、順序変更、近傍の重複、数値安定性、バッチ処理をテストし、完全版では近傍マスクと効率的な近傍探索を導入する。</w:t>
      </w:r>
    </w:p>
    <w:p>
      <w:pPr>
        <w:pStyle w:val="Heading1"/>
        <w:keepNext/>
      </w:pPr>
      <w:r>
        <w:t>8. 領域分割ネットワーク案</w:t>
      </w:r>
    </w:p>
    <w:p>
      <w:pPr>
        <w:pStyle w:val="Heading2"/>
        <w:keepNext/>
      </w:pPr>
      <w:r>
        <w:t>8.1 ボクセル向け：等変3D U-Net</w:t>
      </w:r>
    </w:p>
    <w:p>
      <w:pPr>
        <w:pStyle w:val="ListNumber"/>
        <w:spacing w:after="40"/>
      </w:pPr>
      <w:r>
        <w:t>入力ボリュームをスカラー特徴へ変換する。</w:t>
      </w:r>
    </w:p>
    <w:p>
      <w:pPr>
        <w:pStyle w:val="ListNumber"/>
        <w:spacing w:after="40"/>
      </w:pPr>
      <w:r>
        <w:t>Encoder浅層で微細な局所形状を抽出する。</w:t>
      </w:r>
    </w:p>
    <w:p>
      <w:pPr>
        <w:pStyle w:val="ListNumber"/>
        <w:spacing w:after="40"/>
      </w:pPr>
      <w:r>
        <w:t>深いEncoderで等変特徴を集約し、大域的な形状文脈を捉える。</w:t>
      </w:r>
    </w:p>
    <w:p>
      <w:pPr>
        <w:pStyle w:val="ListNumber"/>
        <w:spacing w:after="40"/>
      </w:pPr>
      <w:r>
        <w:t>Bottleneckでスカラー・ベクトル・高次特徴を統合する。</w:t>
      </w:r>
    </w:p>
    <w:p>
      <w:pPr>
        <w:pStyle w:val="ListNumber"/>
        <w:spacing w:after="40"/>
      </w:pPr>
      <w:r>
        <w:t>Decoderで高解像度特徴を復元し、対応するSkip Connectionを融合する。</w:t>
      </w:r>
    </w:p>
    <w:p>
      <w:pPr>
        <w:pStyle w:val="ListNumber"/>
        <w:spacing w:after="40"/>
      </w:pPr>
      <w:r>
        <w:t>最終的にスカラー場のロジットへ変換し、ボクセルごとのクラス確率を出力する。</w:t>
      </w:r>
    </w:p>
    <w:p>
      <w:r>
        <w:t>初期実験では、すべての層を一度に置き換えず、Encoderの一部またはDecoderの一部に提案演算を導入する。どの位置で効果が出るかをアブレーションで評価する。</w:t>
      </w:r>
    </w:p>
    <w:p>
      <w:pPr>
        <w:pStyle w:val="Heading2"/>
        <w:keepNext/>
      </w:pPr>
      <w:r>
        <w:t>8.2 点群向け</w:t>
      </w:r>
    </w:p>
    <w:p>
      <w:r>
        <w:t>点群では、点座標・点特徴を入力し、局所近傍集約を複数段重ねる。必要に応じて階層的なサンプリングと特徴伝播を用い、各点にクラスロジットを出力する。点群の回転等変性と、点順序に対する置換等変性は別々にテストする。</w:t>
      </w:r>
    </w:p>
    <w:p>
      <w:pPr>
        <w:pStyle w:val="Heading2"/>
        <w:keepNext/>
      </w:pPr>
      <w:r>
        <w:t>8.3 Skip Connectionの注意</w:t>
      </w:r>
    </w:p>
    <w:p>
      <w:r>
        <w:t>スカラー特徴と高次等変特徴を混ぜる際、表現型・チャネル数・空間解像度を合わせる。通常の特徴連結や任意の正規化が等変性を保つとは限らない。出力ヘッドは領域ラベルに対応するスカラー場にする。</w:t>
      </w:r>
    </w:p>
    <w:p>
      <w:pPr>
        <w:pStyle w:val="Heading1"/>
        <w:keepNext/>
      </w:pPr>
      <w:r>
        <w:t>9. 計算量とメモリ</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20"/>
            </w:pPr>
            <w:r/>
            <w:r>
              <w:rPr>
                <w:rFonts w:ascii="Yu Gothic" w:hAnsi="Yu Gothic" w:eastAsia="游ゴシック"/>
                <w:b/>
                <w:sz w:val="18"/>
              </w:rPr>
              <w:t>演算</w:t>
            </w:r>
          </w:p>
        </w:tc>
        <w:tc>
          <w:tcPr>
            <w:tcW w:type="dxa" w:w="3312"/>
            <w:vAlign w:val="center"/>
            <w:shd w:fill="D9EAF7"/>
          </w:tcPr>
          <w:p>
            <w:pPr>
              <w:spacing w:after="20"/>
            </w:pPr>
            <w:r/>
            <w:r>
              <w:rPr>
                <w:rFonts w:ascii="Yu Gothic" w:hAnsi="Yu Gothic" w:eastAsia="游ゴシック"/>
                <w:b/>
                <w:sz w:val="18"/>
              </w:rPr>
              <w:t>概算</w:t>
            </w:r>
          </w:p>
        </w:tc>
        <w:tc>
          <w:tcPr>
            <w:tcW w:type="dxa" w:w="3312"/>
            <w:vAlign w:val="center"/>
            <w:shd w:fill="D9EAF7"/>
          </w:tcPr>
          <w:p>
            <w:pPr>
              <w:spacing w:after="20"/>
            </w:pPr>
            <w:r/>
            <w:r>
              <w:rPr>
                <w:rFonts w:ascii="Yu Gothic" w:hAnsi="Yu Gothic" w:eastAsia="游ゴシック"/>
                <w:b/>
                <w:sz w:val="18"/>
              </w:rPr>
              <w:t>補足</w:t>
            </w:r>
          </w:p>
        </w:tc>
      </w:tr>
      <w:tr>
        <w:tc>
          <w:tcPr>
            <w:tcW w:type="dxa" w:w="3312"/>
            <w:vAlign w:val="center"/>
          </w:tcPr>
          <w:p>
            <w:pPr>
              <w:spacing w:after="20"/>
            </w:pPr>
            <w:r/>
            <w:r>
              <w:rPr>
                <w:rFonts w:ascii="Yu Gothic" w:hAnsi="Yu Gothic" w:eastAsia="游ゴシック"/>
                <w:b w:val="0"/>
                <w:sz w:val="18"/>
              </w:rPr>
              <w:t>標準3D畳み込み</w:t>
            </w:r>
          </w:p>
        </w:tc>
        <w:tc>
          <w:tcPr>
            <w:tcW w:type="dxa" w:w="3312"/>
            <w:vAlign w:val="center"/>
          </w:tcPr>
          <w:p>
            <w:pPr>
              <w:spacing w:after="20"/>
            </w:pPr>
            <w:r/>
            <w:r>
              <w:rPr>
                <w:rFonts w:ascii="Yu Gothic" w:hAnsi="Yu Gothic" w:eastAsia="游ゴシック"/>
                <w:b w:val="0"/>
                <w:sz w:val="18"/>
              </w:rPr>
              <w:t>O(DHW · Cin · Cout · k³)</w:t>
            </w:r>
          </w:p>
        </w:tc>
        <w:tc>
          <w:tcPr>
            <w:tcW w:type="dxa" w:w="3312"/>
            <w:vAlign w:val="center"/>
          </w:tcPr>
          <w:p>
            <w:pPr>
              <w:spacing w:after="20"/>
            </w:pPr>
            <w:r/>
            <w:r>
              <w:rPr>
                <w:rFonts w:ascii="Yu Gothic" w:hAnsi="Yu Gothic" w:eastAsia="游ゴシック"/>
                <w:b w:val="0"/>
                <w:sz w:val="18"/>
              </w:rPr>
              <w:t>格子上の標準的な密な畳み込み</w:t>
            </w:r>
          </w:p>
        </w:tc>
      </w:tr>
      <w:tr>
        <w:tc>
          <w:tcPr>
            <w:tcW w:type="dxa" w:w="3312"/>
            <w:vAlign w:val="center"/>
          </w:tcPr>
          <w:p>
            <w:pPr>
              <w:spacing w:after="20"/>
            </w:pPr>
            <w:r/>
            <w:r>
              <w:rPr>
                <w:rFonts w:ascii="Yu Gothic" w:hAnsi="Yu Gothic" w:eastAsia="游ゴシック"/>
                <w:b w:val="0"/>
                <w:sz w:val="18"/>
              </w:rPr>
              <w:t>点群全点対全点</w:t>
            </w:r>
          </w:p>
        </w:tc>
        <w:tc>
          <w:tcPr>
            <w:tcW w:type="dxa" w:w="3312"/>
            <w:vAlign w:val="center"/>
          </w:tcPr>
          <w:p>
            <w:pPr>
              <w:spacing w:after="20"/>
            </w:pPr>
            <w:r/>
            <w:r>
              <w:rPr>
                <w:rFonts w:ascii="Yu Gothic" w:hAnsi="Yu Gothic" w:eastAsia="游ゴシック"/>
                <w:b w:val="0"/>
                <w:sz w:val="18"/>
              </w:rPr>
              <w:t>距離・ゲートでO(BN²)</w:t>
            </w:r>
          </w:p>
        </w:tc>
        <w:tc>
          <w:tcPr>
            <w:tcW w:type="dxa" w:w="3312"/>
            <w:vAlign w:val="center"/>
          </w:tcPr>
          <w:p>
            <w:pPr>
              <w:spacing w:after="20"/>
            </w:pPr>
            <w:r/>
            <w:r>
              <w:rPr>
                <w:rFonts w:ascii="Yu Gothic" w:hAnsi="Yu Gothic" w:eastAsia="游ゴシック"/>
                <w:b w:val="0"/>
                <w:sz w:val="18"/>
              </w:rPr>
              <w:t>中間テンソルもN²規模</w:t>
            </w:r>
          </w:p>
        </w:tc>
      </w:tr>
      <w:tr>
        <w:tc>
          <w:tcPr>
            <w:tcW w:type="dxa" w:w="3312"/>
            <w:vAlign w:val="center"/>
          </w:tcPr>
          <w:p>
            <w:pPr>
              <w:spacing w:after="20"/>
            </w:pPr>
            <w:r/>
            <w:r>
              <w:rPr>
                <w:rFonts w:ascii="Yu Gothic" w:hAnsi="Yu Gothic" w:eastAsia="游ゴシック"/>
                <w:b w:val="0"/>
                <w:sz w:val="18"/>
              </w:rPr>
              <w:t>点群局所近傍</w:t>
            </w:r>
          </w:p>
        </w:tc>
        <w:tc>
          <w:tcPr>
            <w:tcW w:type="dxa" w:w="3312"/>
            <w:vAlign w:val="center"/>
          </w:tcPr>
          <w:p>
            <w:pPr>
              <w:spacing w:after="20"/>
            </w:pPr>
            <w:r/>
            <w:r>
              <w:rPr>
                <w:rFonts w:ascii="Yu Gothic" w:hAnsi="Yu Gothic" w:eastAsia="游ゴシック"/>
                <w:b w:val="0"/>
                <w:sz w:val="18"/>
              </w:rPr>
              <w:t>近傍集約は概ねO(NK)×特徴演算</w:t>
            </w:r>
          </w:p>
        </w:tc>
        <w:tc>
          <w:tcPr>
            <w:tcW w:type="dxa" w:w="3312"/>
            <w:vAlign w:val="center"/>
          </w:tcPr>
          <w:p>
            <w:pPr>
              <w:spacing w:after="20"/>
            </w:pPr>
            <w:r/>
            <w:r>
              <w:rPr>
                <w:rFonts w:ascii="Yu Gothic" w:hAnsi="Yu Gothic" w:eastAsia="游ゴシック"/>
                <w:b w:val="0"/>
                <w:sz w:val="18"/>
              </w:rPr>
              <w:t>Kは近傍数。特徴射影コストが加わる</w:t>
            </w:r>
          </w:p>
        </w:tc>
      </w:tr>
      <w:tr>
        <w:tc>
          <w:tcPr>
            <w:tcW w:type="dxa" w:w="3312"/>
            <w:vAlign w:val="center"/>
          </w:tcPr>
          <w:p>
            <w:pPr>
              <w:spacing w:after="20"/>
            </w:pPr>
            <w:r/>
            <w:r>
              <w:rPr>
                <w:rFonts w:ascii="Yu Gothic" w:hAnsi="Yu Gothic" w:eastAsia="游ゴシック"/>
                <w:b w:val="0"/>
                <w:sz w:val="18"/>
              </w:rPr>
              <w:t>高次等変畳み込み</w:t>
            </w:r>
          </w:p>
        </w:tc>
        <w:tc>
          <w:tcPr>
            <w:tcW w:type="dxa" w:w="3312"/>
            <w:vAlign w:val="center"/>
          </w:tcPr>
          <w:p>
            <w:pPr>
              <w:spacing w:after="20"/>
            </w:pPr>
            <w:r/>
            <w:r>
              <w:rPr>
                <w:rFonts w:ascii="Yu Gothic" w:hAnsi="Yu Gothic" w:eastAsia="游ゴシック"/>
                <w:b w:val="0"/>
                <w:sz w:val="18"/>
              </w:rPr>
              <w:t>次数・表現チャネル・基底数に依存</w:t>
            </w:r>
          </w:p>
        </w:tc>
        <w:tc>
          <w:tcPr>
            <w:tcW w:type="dxa" w:w="3312"/>
            <w:vAlign w:val="center"/>
          </w:tcPr>
          <w:p>
            <w:pPr>
              <w:spacing w:after="20"/>
            </w:pPr>
            <w:r/>
            <w:r>
              <w:rPr>
                <w:rFonts w:ascii="Yu Gothic" w:hAnsi="Yu Gothic" w:eastAsia="游ゴシック"/>
                <w:b w:val="0"/>
                <w:sz w:val="18"/>
              </w:rPr>
              <w:t>結合係数やテンソル積の実装が重要</w:t>
            </w:r>
          </w:p>
        </w:tc>
      </w:tr>
      <w:tr>
        <w:tc>
          <w:tcPr>
            <w:tcW w:type="dxa" w:w="3312"/>
            <w:vAlign w:val="center"/>
          </w:tcPr>
          <w:p>
            <w:pPr>
              <w:spacing w:after="20"/>
            </w:pPr>
            <w:r/>
            <w:r>
              <w:rPr>
                <w:rFonts w:ascii="Yu Gothic" w:hAnsi="Yu Gothic" w:eastAsia="游ゴシック"/>
                <w:b w:val="0"/>
                <w:sz w:val="18"/>
              </w:rPr>
              <w:t>IGSC</w:t>
            </w:r>
          </w:p>
        </w:tc>
        <w:tc>
          <w:tcPr>
            <w:tcW w:type="dxa" w:w="3312"/>
            <w:vAlign w:val="center"/>
          </w:tcPr>
          <w:p>
            <w:pPr>
              <w:spacing w:after="20"/>
            </w:pPr>
            <w:r/>
            <w:r>
              <w:rPr>
                <w:rFonts w:ascii="Yu Gothic" w:hAnsi="Yu Gothic" w:eastAsia="游ゴシック"/>
                <w:b w:val="0"/>
                <w:sz w:val="18"/>
              </w:rPr>
              <w:t>基礎等変Conv＋ゲート推定＋ゲート乗算</w:t>
            </w:r>
          </w:p>
        </w:tc>
        <w:tc>
          <w:tcPr>
            <w:tcW w:type="dxa" w:w="3312"/>
            <w:vAlign w:val="center"/>
          </w:tcPr>
          <w:p>
            <w:pPr>
              <w:spacing w:after="20"/>
            </w:pPr>
            <w:r/>
            <w:r>
              <w:rPr>
                <w:rFonts w:ascii="Yu Gothic" w:hAnsi="Yu Gothic" w:eastAsia="游ゴシック"/>
                <w:b w:val="0"/>
                <w:sz w:val="18"/>
              </w:rPr>
              <w:t>ゲート共有・近傍数・基底数で変化</w:t>
            </w:r>
          </w:p>
        </w:tc>
      </w:tr>
    </w:tbl>
    <w:p/>
    <w:p>
      <w:r>
        <w:t>FLOPsだけでなく、実際の推論時間、ピークGPUメモリ、バッチサイズ、入力解像度も報告する。等変畳み込みは通常Convより演算が複雑になる場合があり、理論上の効率性と実測効率を分けて評価する。</w:t>
      </w:r>
    </w:p>
    <w:p>
      <w:pPr>
        <w:pStyle w:val="Heading1"/>
        <w:keepNext/>
      </w:pPr>
      <w:r>
        <w:t>10. 比較実験・アブレーション</w:t>
      </w:r>
    </w:p>
    <w:p>
      <w:pPr>
        <w:pStyle w:val="Heading2"/>
        <w:keepNext/>
      </w:pPr>
      <w:r>
        <w:t>10.1 比較するモデル</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20"/>
            </w:pPr>
            <w:r/>
            <w:r>
              <w:rPr>
                <w:rFonts w:ascii="Yu Gothic" w:hAnsi="Yu Gothic" w:eastAsia="游ゴシック"/>
                <w:b/>
                <w:sz w:val="18"/>
              </w:rPr>
              <w:t>ID</w:t>
            </w:r>
          </w:p>
        </w:tc>
        <w:tc>
          <w:tcPr>
            <w:tcW w:type="dxa" w:w="3312"/>
            <w:vAlign w:val="center"/>
            <w:shd w:fill="D9EAF7"/>
          </w:tcPr>
          <w:p>
            <w:pPr>
              <w:spacing w:after="20"/>
            </w:pPr>
            <w:r/>
            <w:r>
              <w:rPr>
                <w:rFonts w:ascii="Yu Gothic" w:hAnsi="Yu Gothic" w:eastAsia="游ゴシック"/>
                <w:b/>
                <w:sz w:val="18"/>
              </w:rPr>
              <w:t>モデル</w:t>
            </w:r>
          </w:p>
        </w:tc>
        <w:tc>
          <w:tcPr>
            <w:tcW w:type="dxa" w:w="3312"/>
            <w:vAlign w:val="center"/>
            <w:shd w:fill="D9EAF7"/>
          </w:tcPr>
          <w:p>
            <w:pPr>
              <w:spacing w:after="20"/>
            </w:pPr>
            <w:r/>
            <w:r>
              <w:rPr>
                <w:rFonts w:ascii="Yu Gothic" w:hAnsi="Yu Gothic" w:eastAsia="游ゴシック"/>
                <w:b/>
                <w:sz w:val="18"/>
              </w:rPr>
              <w:t>検証目的</w:t>
            </w:r>
          </w:p>
        </w:tc>
      </w:tr>
      <w:tr>
        <w:tc>
          <w:tcPr>
            <w:tcW w:type="dxa" w:w="3312"/>
            <w:vAlign w:val="center"/>
          </w:tcPr>
          <w:p>
            <w:pPr>
              <w:spacing w:after="20"/>
            </w:pPr>
            <w:r/>
            <w:r>
              <w:rPr>
                <w:rFonts w:ascii="Yu Gothic" w:hAnsi="Yu Gothic" w:eastAsia="游ゴシック"/>
                <w:b w:val="0"/>
                <w:sz w:val="18"/>
              </w:rPr>
              <w:t>A</w:t>
            </w:r>
          </w:p>
        </w:tc>
        <w:tc>
          <w:tcPr>
            <w:tcW w:type="dxa" w:w="3312"/>
            <w:vAlign w:val="center"/>
          </w:tcPr>
          <w:p>
            <w:pPr>
              <w:spacing w:after="20"/>
            </w:pPr>
            <w:r/>
            <w:r>
              <w:rPr>
                <w:rFonts w:ascii="Yu Gothic" w:hAnsi="Yu Gothic" w:eastAsia="游ゴシック"/>
                <w:b w:val="0"/>
                <w:sz w:val="18"/>
              </w:rPr>
              <w:t>標準3D U-Net / 点群ベースライン</w:t>
            </w:r>
          </w:p>
        </w:tc>
        <w:tc>
          <w:tcPr>
            <w:tcW w:type="dxa" w:w="3312"/>
            <w:vAlign w:val="center"/>
          </w:tcPr>
          <w:p>
            <w:pPr>
              <w:spacing w:after="20"/>
            </w:pPr>
            <w:r/>
            <w:r>
              <w:rPr>
                <w:rFonts w:ascii="Yu Gothic" w:hAnsi="Yu Gothic" w:eastAsia="游ゴシック"/>
                <w:b w:val="0"/>
                <w:sz w:val="18"/>
              </w:rPr>
              <w:t>基準性能</w:t>
            </w:r>
          </w:p>
        </w:tc>
      </w:tr>
      <w:tr>
        <w:tc>
          <w:tcPr>
            <w:tcW w:type="dxa" w:w="3312"/>
            <w:vAlign w:val="center"/>
          </w:tcPr>
          <w:p>
            <w:pPr>
              <w:spacing w:after="20"/>
            </w:pPr>
            <w:r/>
            <w:r>
              <w:rPr>
                <w:rFonts w:ascii="Yu Gothic" w:hAnsi="Yu Gothic" w:eastAsia="游ゴシック"/>
                <w:b w:val="0"/>
                <w:sz w:val="18"/>
              </w:rPr>
              <w:t>B</w:t>
            </w:r>
          </w:p>
        </w:tc>
        <w:tc>
          <w:tcPr>
            <w:tcW w:type="dxa" w:w="3312"/>
            <w:vAlign w:val="center"/>
          </w:tcPr>
          <w:p>
            <w:pPr>
              <w:spacing w:after="20"/>
            </w:pPr>
            <w:r/>
            <w:r>
              <w:rPr>
                <w:rFonts w:ascii="Yu Gothic" w:hAnsi="Yu Gothic" w:eastAsia="游ゴシック"/>
                <w:b w:val="0"/>
                <w:sz w:val="18"/>
              </w:rPr>
              <w:t>回転データ拡張付きベースライン</w:t>
            </w:r>
          </w:p>
        </w:tc>
        <w:tc>
          <w:tcPr>
            <w:tcW w:type="dxa" w:w="3312"/>
            <w:vAlign w:val="center"/>
          </w:tcPr>
          <w:p>
            <w:pPr>
              <w:spacing w:after="20"/>
            </w:pPr>
            <w:r/>
            <w:r>
              <w:rPr>
                <w:rFonts w:ascii="Yu Gothic" w:hAnsi="Yu Gothic" w:eastAsia="游ゴシック"/>
                <w:b w:val="0"/>
                <w:sz w:val="18"/>
              </w:rPr>
              <w:t>データ拡張で得られる頑健性</w:t>
            </w:r>
          </w:p>
        </w:tc>
      </w:tr>
      <w:tr>
        <w:tc>
          <w:tcPr>
            <w:tcW w:type="dxa" w:w="3312"/>
            <w:vAlign w:val="center"/>
          </w:tcPr>
          <w:p>
            <w:pPr>
              <w:spacing w:after="20"/>
            </w:pPr>
            <w:r/>
            <w:r>
              <w:rPr>
                <w:rFonts w:ascii="Yu Gothic" w:hAnsi="Yu Gothic" w:eastAsia="游ゴシック"/>
                <w:b w:val="0"/>
                <w:sz w:val="18"/>
              </w:rPr>
              <w:t>C</w:t>
            </w:r>
          </w:p>
        </w:tc>
        <w:tc>
          <w:tcPr>
            <w:tcW w:type="dxa" w:w="3312"/>
            <w:vAlign w:val="center"/>
          </w:tcPr>
          <w:p>
            <w:pPr>
              <w:spacing w:after="20"/>
            </w:pPr>
            <w:r/>
            <w:r>
              <w:rPr>
                <w:rFonts w:ascii="Yu Gothic" w:hAnsi="Yu Gothic" w:eastAsia="游ゴシック"/>
                <w:b w:val="0"/>
                <w:sz w:val="18"/>
              </w:rPr>
              <w:t>既存のSO(3)等変Convを用いたモデル</w:t>
            </w:r>
          </w:p>
        </w:tc>
        <w:tc>
          <w:tcPr>
            <w:tcW w:type="dxa" w:w="3312"/>
            <w:vAlign w:val="center"/>
          </w:tcPr>
          <w:p>
            <w:pPr>
              <w:spacing w:after="20"/>
            </w:pPr>
            <w:r/>
            <w:r>
              <w:rPr>
                <w:rFonts w:ascii="Yu Gothic" w:hAnsi="Yu Gothic" w:eastAsia="游ゴシック"/>
                <w:b w:val="0"/>
                <w:sz w:val="18"/>
              </w:rPr>
              <w:t>等変性そのものの効果</w:t>
            </w:r>
          </w:p>
        </w:tc>
      </w:tr>
      <w:tr>
        <w:tc>
          <w:tcPr>
            <w:tcW w:type="dxa" w:w="3312"/>
            <w:vAlign w:val="center"/>
          </w:tcPr>
          <w:p>
            <w:pPr>
              <w:spacing w:after="20"/>
            </w:pPr>
            <w:r/>
            <w:r>
              <w:rPr>
                <w:rFonts w:ascii="Yu Gothic" w:hAnsi="Yu Gothic" w:eastAsia="游ゴシック"/>
                <w:b w:val="0"/>
                <w:sz w:val="18"/>
              </w:rPr>
              <w:t>D</w:t>
            </w:r>
          </w:p>
        </w:tc>
        <w:tc>
          <w:tcPr>
            <w:tcW w:type="dxa" w:w="3312"/>
            <w:vAlign w:val="center"/>
          </w:tcPr>
          <w:p>
            <w:pPr>
              <w:spacing w:after="20"/>
            </w:pPr>
            <w:r/>
            <w:r>
              <w:rPr>
                <w:rFonts w:ascii="Yu Gothic" w:hAnsi="Yu Gothic" w:eastAsia="游ゴシック"/>
                <w:b w:val="0"/>
                <w:sz w:val="18"/>
              </w:rPr>
              <w:t>等変Conv＋単純な不変ゲート</w:t>
            </w:r>
          </w:p>
        </w:tc>
        <w:tc>
          <w:tcPr>
            <w:tcW w:type="dxa" w:w="3312"/>
            <w:vAlign w:val="center"/>
          </w:tcPr>
          <w:p>
            <w:pPr>
              <w:spacing w:after="20"/>
            </w:pPr>
            <w:r/>
            <w:r>
              <w:rPr>
                <w:rFonts w:ascii="Yu Gothic" w:hAnsi="Yu Gothic" w:eastAsia="游ゴシック"/>
                <w:b w:val="0"/>
                <w:sz w:val="18"/>
              </w:rPr>
              <w:t>ゲートの追加効果</w:t>
            </w:r>
          </w:p>
        </w:tc>
      </w:tr>
      <w:tr>
        <w:tc>
          <w:tcPr>
            <w:tcW w:type="dxa" w:w="3312"/>
            <w:vAlign w:val="center"/>
          </w:tcPr>
          <w:p>
            <w:pPr>
              <w:spacing w:after="20"/>
            </w:pPr>
            <w:r/>
            <w:r>
              <w:rPr>
                <w:rFonts w:ascii="Yu Gothic" w:hAnsi="Yu Gothic" w:eastAsia="游ゴシック"/>
                <w:b w:val="0"/>
                <w:sz w:val="18"/>
              </w:rPr>
              <w:t>E</w:t>
            </w:r>
          </w:p>
        </w:tc>
        <w:tc>
          <w:tcPr>
            <w:tcW w:type="dxa" w:w="3312"/>
            <w:vAlign w:val="center"/>
          </w:tcPr>
          <w:p>
            <w:pPr>
              <w:spacing w:after="20"/>
            </w:pPr>
            <w:r/>
            <w:r>
              <w:rPr>
                <w:rFonts w:ascii="Yu Gothic" w:hAnsi="Yu Gothic" w:eastAsia="游ゴシック"/>
                <w:b w:val="0"/>
                <w:sz w:val="18"/>
              </w:rPr>
              <w:t>境界場のみのDual-Field変種</w:t>
            </w:r>
          </w:p>
        </w:tc>
        <w:tc>
          <w:tcPr>
            <w:tcW w:type="dxa" w:w="3312"/>
            <w:vAlign w:val="center"/>
          </w:tcPr>
          <w:p>
            <w:pPr>
              <w:spacing w:after="20"/>
            </w:pPr>
            <w:r/>
            <w:r>
              <w:rPr>
                <w:rFonts w:ascii="Yu Gothic" w:hAnsi="Yu Gothic" w:eastAsia="游ゴシック"/>
                <w:b w:val="0"/>
                <w:sz w:val="18"/>
              </w:rPr>
              <w:t>境界情報の効果</w:t>
            </w:r>
          </w:p>
        </w:tc>
      </w:tr>
      <w:tr>
        <w:tc>
          <w:tcPr>
            <w:tcW w:type="dxa" w:w="3312"/>
            <w:vAlign w:val="center"/>
          </w:tcPr>
          <w:p>
            <w:pPr>
              <w:spacing w:after="20"/>
            </w:pPr>
            <w:r/>
            <w:r>
              <w:rPr>
                <w:rFonts w:ascii="Yu Gothic" w:hAnsi="Yu Gothic" w:eastAsia="游ゴシック"/>
                <w:b w:val="0"/>
                <w:sz w:val="18"/>
              </w:rPr>
              <w:t>F</w:t>
            </w:r>
          </w:p>
        </w:tc>
        <w:tc>
          <w:tcPr>
            <w:tcW w:type="dxa" w:w="3312"/>
            <w:vAlign w:val="center"/>
          </w:tcPr>
          <w:p>
            <w:pPr>
              <w:spacing w:after="20"/>
            </w:pPr>
            <w:r/>
            <w:r>
              <w:rPr>
                <w:rFonts w:ascii="Yu Gothic" w:hAnsi="Yu Gothic" w:eastAsia="游ゴシック"/>
                <w:b w:val="0"/>
                <w:sz w:val="18"/>
              </w:rPr>
              <w:t>形状・方向場のみの変種</w:t>
            </w:r>
          </w:p>
        </w:tc>
        <w:tc>
          <w:tcPr>
            <w:tcW w:type="dxa" w:w="3312"/>
            <w:vAlign w:val="center"/>
          </w:tcPr>
          <w:p>
            <w:pPr>
              <w:spacing w:after="20"/>
            </w:pPr>
            <w:r/>
            <w:r>
              <w:rPr>
                <w:rFonts w:ascii="Yu Gothic" w:hAnsi="Yu Gothic" w:eastAsia="游ゴシック"/>
                <w:b w:val="0"/>
                <w:sz w:val="18"/>
              </w:rPr>
              <w:t>形状情報の効果</w:t>
            </w:r>
          </w:p>
        </w:tc>
      </w:tr>
      <w:tr>
        <w:tc>
          <w:tcPr>
            <w:tcW w:type="dxa" w:w="3312"/>
            <w:vAlign w:val="center"/>
          </w:tcPr>
          <w:p>
            <w:pPr>
              <w:spacing w:after="20"/>
            </w:pPr>
            <w:r/>
            <w:r>
              <w:rPr>
                <w:rFonts w:ascii="Yu Gothic" w:hAnsi="Yu Gothic" w:eastAsia="游ゴシック"/>
                <w:b w:val="0"/>
                <w:sz w:val="18"/>
              </w:rPr>
              <w:t>G</w:t>
            </w:r>
          </w:p>
        </w:tc>
        <w:tc>
          <w:tcPr>
            <w:tcW w:type="dxa" w:w="3312"/>
            <w:vAlign w:val="center"/>
          </w:tcPr>
          <w:p>
            <w:pPr>
              <w:spacing w:after="20"/>
            </w:pPr>
            <w:r/>
            <w:r>
              <w:rPr>
                <w:rFonts w:ascii="Yu Gothic" w:hAnsi="Yu Gothic" w:eastAsia="游ゴシック"/>
                <w:b w:val="0"/>
                <w:sz w:val="18"/>
              </w:rPr>
              <w:t>完全なIGSC / 統合案</w:t>
            </w:r>
          </w:p>
        </w:tc>
        <w:tc>
          <w:tcPr>
            <w:tcW w:type="dxa" w:w="3312"/>
            <w:vAlign w:val="center"/>
          </w:tcPr>
          <w:p>
            <w:pPr>
              <w:spacing w:after="20"/>
            </w:pPr>
            <w:r/>
            <w:r>
              <w:rPr>
                <w:rFonts w:ascii="Yu Gothic" w:hAnsi="Yu Gothic" w:eastAsia="游ゴシック"/>
                <w:b w:val="0"/>
                <w:sz w:val="18"/>
              </w:rPr>
              <w:t>全機構の効果</w:t>
            </w:r>
          </w:p>
        </w:tc>
      </w:tr>
      <w:tr>
        <w:tc>
          <w:tcPr>
            <w:tcW w:type="dxa" w:w="3312"/>
            <w:vAlign w:val="center"/>
          </w:tcPr>
          <w:p>
            <w:pPr>
              <w:spacing w:after="20"/>
            </w:pPr>
            <w:r/>
            <w:r>
              <w:rPr>
                <w:rFonts w:ascii="Yu Gothic" w:hAnsi="Yu Gothic" w:eastAsia="游ゴシック"/>
                <w:b w:val="0"/>
                <w:sz w:val="18"/>
              </w:rPr>
              <w:t>H</w:t>
            </w:r>
          </w:p>
        </w:tc>
        <w:tc>
          <w:tcPr>
            <w:tcW w:type="dxa" w:w="3312"/>
            <w:vAlign w:val="center"/>
          </w:tcPr>
          <w:p>
            <w:pPr>
              <w:spacing w:after="20"/>
            </w:pPr>
            <w:r/>
            <w:r>
              <w:rPr>
                <w:rFonts w:ascii="Yu Gothic" w:hAnsi="Yu Gothic" w:eastAsia="游ゴシック"/>
                <w:b w:val="0"/>
                <w:sz w:val="18"/>
              </w:rPr>
              <w:t>Deformable Conv等の適応演算</w:t>
            </w:r>
          </w:p>
        </w:tc>
        <w:tc>
          <w:tcPr>
            <w:tcW w:type="dxa" w:w="3312"/>
            <w:vAlign w:val="center"/>
          </w:tcPr>
          <w:p>
            <w:pPr>
              <w:spacing w:after="20"/>
            </w:pPr>
            <w:r/>
            <w:r>
              <w:rPr>
                <w:rFonts w:ascii="Yu Gothic" w:hAnsi="Yu Gothic" w:eastAsia="游ゴシック"/>
                <w:b w:val="0"/>
                <w:sz w:val="18"/>
              </w:rPr>
              <w:t>既存の適応方式との比較</w:t>
            </w:r>
          </w:p>
        </w:tc>
      </w:tr>
    </w:tbl>
    <w:p/>
    <w:p>
      <w:pPr>
        <w:pStyle w:val="Heading2"/>
        <w:keepNext/>
      </w:pPr>
      <w:r>
        <w:t>10.2 指標</w:t>
      </w:r>
    </w:p>
    <w:p>
      <w:pPr>
        <w:pStyle w:val="ListBullet"/>
        <w:spacing w:after="40"/>
      </w:pPr>
      <w:r>
        <w:t>Dice係数・IoU：領域全体の重なり。</w:t>
      </w:r>
    </w:p>
    <w:p>
      <w:pPr>
        <w:pStyle w:val="ListBullet"/>
        <w:spacing w:after="40"/>
      </w:pPr>
      <w:r>
        <w:t>HD95や平均表面距離：境界位置の誤差。</w:t>
      </w:r>
    </w:p>
    <w:p>
      <w:pPr>
        <w:pStyle w:val="ListBullet"/>
        <w:spacing w:after="40"/>
      </w:pPr>
      <w:r>
        <w:t>回転等変誤差：回転入力に対する予測と、元の予測を回転した結果の差。</w:t>
      </w:r>
    </w:p>
    <w:p>
      <w:pPr>
        <w:pStyle w:val="ListBullet"/>
        <w:spacing w:after="40"/>
      </w:pPr>
      <w:r>
        <w:t>パラメータ数・FLOPs・推論時間・ピークGPUメモリ：計算コスト。</w:t>
      </w:r>
    </w:p>
    <w:p>
      <w:pPr>
        <w:pStyle w:val="ListBullet"/>
        <w:spacing w:after="40"/>
      </w:pPr>
      <w:r>
        <w:t>少量データ条件：データ効率・過学習の傾向。</w:t>
      </w:r>
    </w:p>
    <w:p>
      <w:pPr>
        <w:pStyle w:val="Heading2"/>
        <w:keepNext/>
      </w:pPr>
      <w:r>
        <w:t>10.3 回転等変誤差</w:t>
      </w:r>
    </w:p>
    <w:p>
      <w:pPr>
        <w:jc w:val="center"/>
      </w:pPr>
      <w:r>
        <w:rPr>
          <w:rFonts w:ascii="Cambria Math" w:hAnsi="Cambria Math"/>
          <w:sz w:val="22"/>
        </w:rPr>
        <w:t>E_R = || f(T_R X) − T_R f(X) ||₂ / (||f(X)||₂ + ε)</w:t>
      </w:r>
    </w:p>
    <w:p>
      <w:r>
        <w:t>複数の回転角度・回転軸で測定し、訓練時に見せていない角度も評価する。ボクセルでは回転補間誤差を考慮し、点群では座標とラベルの対応関係を保って評価する。</w:t>
      </w:r>
    </w:p>
    <w:p>
      <w:pPr>
        <w:pStyle w:val="Heading2"/>
        <w:keepNext/>
      </w:pPr>
      <w:r>
        <w:t>10.4 実験管理</w:t>
      </w:r>
    </w:p>
    <w:p>
      <w:pPr>
        <w:pStyle w:val="ListBullet"/>
        <w:spacing w:after="40"/>
      </w:pPr>
      <w:r>
        <w:t>同じ訓練・検証・テスト分割、同じ損失関数、同じ学習予算で比較する。</w:t>
      </w:r>
    </w:p>
    <w:p>
      <w:pPr>
        <w:pStyle w:val="ListBullet"/>
        <w:spacing w:after="40"/>
      </w:pPr>
      <w:r>
        <w:t>複数の乱数シードで実行し、平均と標準偏差または信頼区間を報告する。</w:t>
      </w:r>
    </w:p>
    <w:p>
      <w:pPr>
        <w:pStyle w:val="ListBullet"/>
        <w:spacing w:after="40"/>
      </w:pPr>
      <w:r>
        <w:t>アブレーションでは、ゲート、境界場、形状場、高次表現、近傍数を1要因ずつ変更する。</w:t>
      </w:r>
    </w:p>
    <w:p>
      <w:pPr>
        <w:pStyle w:val="ListBullet"/>
        <w:spacing w:after="40"/>
      </w:pPr>
      <w:r>
        <w:t>テストデータに基づくハイパーパラメータ選択を避ける。</w:t>
      </w:r>
    </w:p>
    <w:p>
      <w:pPr>
        <w:pStyle w:val="ListBullet"/>
        <w:spacing w:after="40"/>
      </w:pPr>
      <w:r>
        <w:t>精度向上と回転等変誤差の改善を分けて評価する。Diceが高いことだけでは等変性の証明にならない。</w:t>
      </w:r>
    </w:p>
    <w:p>
      <w:pPr>
        <w:pStyle w:val="Heading1"/>
        <w:keepNext/>
      </w:pPr>
      <w:r>
        <w:t>11. 研究を進める手順</w:t>
      </w:r>
    </w:p>
    <w:p>
      <w:pPr>
        <w:pStyle w:val="ListNumber"/>
        <w:spacing w:after="40"/>
      </w:pPr>
      <w:r>
        <w:t>先行研究調査：3D Steerable CNN、Tensor Field Network、回転等変セグメンテーション、ゲーティング付き等変演算、連続座標カーネルを整理する。</w:t>
      </w:r>
    </w:p>
    <w:p>
      <w:pPr>
        <w:pStyle w:val="ListNumber"/>
        <w:spacing w:after="40"/>
      </w:pPr>
      <w:r>
        <w:t>数学的仕様を固定：対象群をSO(3)とするか、鏡映も含むO(3)とするか、特徴表現の次数、カーネル基底、ゲートの不変量を定義する。</w:t>
      </w:r>
    </w:p>
    <w:p>
      <w:pPr>
        <w:pStyle w:val="ListNumber"/>
        <w:spacing w:after="40"/>
      </w:pPr>
      <w:r>
        <w:t>小規模な点群プロトタイプ：回転・平行移動・点順序変更のテストを行う。</w:t>
      </w:r>
    </w:p>
    <w:p>
      <w:pPr>
        <w:pStyle w:val="ListNumber"/>
        <w:spacing w:after="40"/>
      </w:pPr>
      <w:r>
        <w:t>既存の等変畳み込みを再現：提案機構を入れる前に基礎実装を検証する。</w:t>
      </w:r>
    </w:p>
    <w:p>
      <w:pPr>
        <w:pStyle w:val="ListNumber"/>
        <w:spacing w:after="40"/>
      </w:pPr>
      <w:r>
        <w:t>ゲートのみ追加：等変性を壊さないことと、性能への影響を確認する。</w:t>
      </w:r>
    </w:p>
    <w:p>
      <w:pPr>
        <w:pStyle w:val="ListNumber"/>
        <w:spacing w:after="40"/>
      </w:pPr>
      <w:r>
        <w:t>境界場・形状場を個別に追加：寄与をアブレーションで切り分ける。</w:t>
      </w:r>
    </w:p>
    <w:p>
      <w:pPr>
        <w:pStyle w:val="ListNumber"/>
        <w:spacing w:after="40"/>
      </w:pPr>
      <w:r>
        <w:t>領域分割ベンチマークで比較：精度、回転等変誤差、計算コストを測定する。</w:t>
      </w:r>
    </w:p>
    <w:p>
      <w:pPr>
        <w:pStyle w:val="ListNumber"/>
        <w:spacing w:after="40"/>
      </w:pPr>
      <w:r>
        <w:t>新規性の主張を絞る：結果が支持する範囲だけを論文で主張する。</w:t>
      </w:r>
    </w:p>
    <w:p>
      <w:pPr>
        <w:pStyle w:val="Heading1"/>
        <w:keepNext/>
      </w:pPr>
      <w:r>
        <w:t>12. 先行研究の確認先</w:t>
      </w:r>
    </w:p>
    <w:p>
      <w:r>
        <w:t>以下はこの設計案を比較検討するための起点である。正式な論文執筆時には、原論文・補足資料・公開コードを確認し、公開年、会議、定義、実験条件を再確認する。</w:t>
      </w:r>
    </w:p>
    <w:p>
      <w:pPr>
        <w:pStyle w:val="ListBullet"/>
      </w:pPr>
      <w:r>
        <w:rPr>
          <w:b/>
        </w:rPr>
        <w:t>Weiler et al., 3D Steerable CNNs: Learning Rotationally Equivariant Features in Volumetric Data：</w:t>
      </w:r>
      <w:r>
        <w:t>3Dの回転等変特徴・球面調和関数によるカーネル構成の基礎。</w:t>
      </w:r>
    </w:p>
    <w:p>
      <w:pPr>
        <w:pStyle w:val="ListBullet"/>
      </w:pPr>
      <w:r>
        <w:rPr>
          <w:b/>
        </w:rPr>
        <w:t>Tensor Field Networks：</w:t>
      </w:r>
      <w:r>
        <w:t>3D回転等変なテンソル場と幾何学的特徴集約の基礎。</w:t>
      </w:r>
    </w:p>
    <w:p>
      <w:pPr>
        <w:pStyle w:val="ListBullet"/>
      </w:pPr>
      <w:r>
        <w:rPr>
          <w:b/>
        </w:rPr>
        <w:t>Rotation-equivariant 3D U-Net / 医用画像セグメンテーション関連研究：</w:t>
      </w:r>
      <w:r>
        <w:t>等変畳み込みを領域分割へ適用する際の構造・評価を比較する。</w:t>
      </w:r>
    </w:p>
    <w:p>
      <w:pPr>
        <w:pStyle w:val="ListBullet"/>
      </w:pPr>
      <w:r>
        <w:rPr>
          <w:b/>
        </w:rPr>
        <w:t>PDO-s3DCNNs：</w:t>
      </w:r>
      <w:r>
        <w:t>回転等変な3D畳み込み設計の別系統を比較する。</w:t>
      </w:r>
    </w:p>
    <w:p>
      <w:pPr>
        <w:pStyle w:val="ListBullet"/>
      </w:pPr>
      <w:r>
        <w:rPr>
          <w:b/>
        </w:rPr>
        <w:t>ECKConv（CVPR 2026として報告された連続座標カーネル研究）：</w:t>
      </w:r>
      <w:r>
        <w:t>連続座標カーネル、等変性、効率性の比較対象候補。正式な出版情報を確認する。</w:t>
      </w:r>
    </w:p>
    <w:p>
      <w:pPr>
        <w:pStyle w:val="ListBullet"/>
      </w:pPr>
      <w:r>
        <w:rPr>
          <w:b/>
        </w:rPr>
        <w:t>Deformable Convolution：</w:t>
      </w:r>
      <w:r>
        <w:t>入力依存のサンプリング位置を用いる適応型演算との比較。</w:t>
      </w:r>
    </w:p>
    <w:p>
      <w:pPr>
        <w:pStyle w:val="Heading1"/>
        <w:keepNext/>
      </w:pPr>
      <w:r>
        <w:t>13. 最終提案</w:t>
      </w:r>
    </w:p>
    <w:p>
      <w:r>
        <w:t>理論的新規性を優先する場合、研究の中心は「SO(3)等変カーネルを維持した不変ゲート」に置き、境界場と形状場の分離を拡張案として扱うのが整理しやすい。</w:t>
      </w:r>
    </w:p>
    <w:p>
      <w:r>
        <w:t>ただし、回転不変なゲートを等変畳み込みに掛けるという一般的な発想だけでは、既存のゲーティング・注意機構との差分が弱い可能性がある。新規性の核は、ゲートの制約条件、表現力、理論保証、または複数の離散化に共通する演算定義として具体化する必要がある。</w:t>
      </w:r>
    </w:p>
    <w:p>
      <w:r>
        <w:t>研究の最低ラインは、(1)数学的に正しい等変条件、(2)既存等変Convとの比較、(3)回転等変誤差と領域分割指標の両方、(4)計算コスト、(5)十分なアブレーションである。</w:t>
      </w:r>
    </w:p>
    <w:p>
      <w:pPr>
        <w:pStyle w:val="Heading1"/>
        <w:keepNext/>
      </w:pPr>
      <w:r>
        <w:t>付録：用語</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rFonts w:ascii="Yu Gothic" w:hAnsi="Yu Gothic" w:eastAsia="游ゴシック"/>
                <w:b/>
                <w:sz w:val="18"/>
              </w:rPr>
              <w:t>用語</w:t>
            </w:r>
          </w:p>
        </w:tc>
        <w:tc>
          <w:tcPr>
            <w:tcW w:type="dxa" w:w="4968"/>
            <w:vAlign w:val="center"/>
            <w:shd w:fill="D9EAF7"/>
          </w:tcPr>
          <w:p>
            <w:pPr>
              <w:spacing w:after="20"/>
            </w:pPr>
            <w:r/>
            <w:r>
              <w:rPr>
                <w:rFonts w:ascii="Yu Gothic" w:hAnsi="Yu Gothic" w:eastAsia="游ゴシック"/>
                <w:b/>
                <w:sz w:val="18"/>
              </w:rPr>
              <w:t>意味</w:t>
            </w:r>
          </w:p>
        </w:tc>
      </w:tr>
      <w:tr>
        <w:tc>
          <w:tcPr>
            <w:tcW w:type="dxa" w:w="4968"/>
            <w:vAlign w:val="center"/>
          </w:tcPr>
          <w:p>
            <w:pPr>
              <w:spacing w:after="20"/>
            </w:pPr>
            <w:r/>
            <w:r>
              <w:rPr>
                <w:rFonts w:ascii="Yu Gothic" w:hAnsi="Yu Gothic" w:eastAsia="游ゴシック"/>
                <w:b w:val="0"/>
                <w:sz w:val="18"/>
              </w:rPr>
              <w:t>SO(3)</w:t>
            </w:r>
          </w:p>
        </w:tc>
        <w:tc>
          <w:tcPr>
            <w:tcW w:type="dxa" w:w="4968"/>
            <w:vAlign w:val="center"/>
          </w:tcPr>
          <w:p>
            <w:pPr>
              <w:spacing w:after="20"/>
            </w:pPr>
            <w:r/>
            <w:r>
              <w:rPr>
                <w:rFonts w:ascii="Yu Gothic" w:hAnsi="Yu Gothic" w:eastAsia="游ゴシック"/>
                <w:b w:val="0"/>
                <w:sz w:val="18"/>
              </w:rPr>
              <w:t>3次元空間の原点を固定した回転群。</w:t>
            </w:r>
          </w:p>
        </w:tc>
      </w:tr>
      <w:tr>
        <w:tc>
          <w:tcPr>
            <w:tcW w:type="dxa" w:w="4968"/>
            <w:vAlign w:val="center"/>
          </w:tcPr>
          <w:p>
            <w:pPr>
              <w:spacing w:after="20"/>
            </w:pPr>
            <w:r/>
            <w:r>
              <w:rPr>
                <w:rFonts w:ascii="Yu Gothic" w:hAnsi="Yu Gothic" w:eastAsia="游ゴシック"/>
                <w:b w:val="0"/>
                <w:sz w:val="18"/>
              </w:rPr>
              <w:t>O(3)</w:t>
            </w:r>
          </w:p>
        </w:tc>
        <w:tc>
          <w:tcPr>
            <w:tcW w:type="dxa" w:w="4968"/>
            <w:vAlign w:val="center"/>
          </w:tcPr>
          <w:p>
            <w:pPr>
              <w:spacing w:after="20"/>
            </w:pPr>
            <w:r/>
            <w:r>
              <w:rPr>
                <w:rFonts w:ascii="Yu Gothic" w:hAnsi="Yu Gothic" w:eastAsia="游ゴシック"/>
                <w:b w:val="0"/>
                <w:sz w:val="18"/>
              </w:rPr>
              <w:t>回転に加え鏡映を含む直交変換群。</w:t>
            </w:r>
          </w:p>
        </w:tc>
      </w:tr>
      <w:tr>
        <w:tc>
          <w:tcPr>
            <w:tcW w:type="dxa" w:w="4968"/>
            <w:vAlign w:val="center"/>
          </w:tcPr>
          <w:p>
            <w:pPr>
              <w:spacing w:after="20"/>
            </w:pPr>
            <w:r/>
            <w:r>
              <w:rPr>
                <w:rFonts w:ascii="Yu Gothic" w:hAnsi="Yu Gothic" w:eastAsia="游ゴシック"/>
                <w:b w:val="0"/>
                <w:sz w:val="18"/>
              </w:rPr>
              <w:t>等変性</w:t>
            </w:r>
          </w:p>
        </w:tc>
        <w:tc>
          <w:tcPr>
            <w:tcW w:type="dxa" w:w="4968"/>
            <w:vAlign w:val="center"/>
          </w:tcPr>
          <w:p>
            <w:pPr>
              <w:spacing w:after="20"/>
            </w:pPr>
            <w:r/>
            <w:r>
              <w:rPr>
                <w:rFonts w:ascii="Yu Gothic" w:hAnsi="Yu Gothic" w:eastAsia="游ゴシック"/>
                <w:b w:val="0"/>
                <w:sz w:val="18"/>
              </w:rPr>
              <w:t>入力変換に対応して出力が規則的に変換される性質。</w:t>
            </w:r>
          </w:p>
        </w:tc>
      </w:tr>
      <w:tr>
        <w:tc>
          <w:tcPr>
            <w:tcW w:type="dxa" w:w="4968"/>
            <w:vAlign w:val="center"/>
          </w:tcPr>
          <w:p>
            <w:pPr>
              <w:spacing w:after="20"/>
            </w:pPr>
            <w:r/>
            <w:r>
              <w:rPr>
                <w:rFonts w:ascii="Yu Gothic" w:hAnsi="Yu Gothic" w:eastAsia="游ゴシック"/>
                <w:b w:val="0"/>
                <w:sz w:val="18"/>
              </w:rPr>
              <w:t>不変性</w:t>
            </w:r>
          </w:p>
        </w:tc>
        <w:tc>
          <w:tcPr>
            <w:tcW w:type="dxa" w:w="4968"/>
            <w:vAlign w:val="center"/>
          </w:tcPr>
          <w:p>
            <w:pPr>
              <w:spacing w:after="20"/>
            </w:pPr>
            <w:r/>
            <w:r>
              <w:rPr>
                <w:rFonts w:ascii="Yu Gothic" w:hAnsi="Yu Gothic" w:eastAsia="游ゴシック"/>
                <w:b w:val="0"/>
                <w:sz w:val="18"/>
              </w:rPr>
              <w:t>入力変換をしても対象の出力が変わらない性質。</w:t>
            </w:r>
          </w:p>
        </w:tc>
      </w:tr>
      <w:tr>
        <w:tc>
          <w:tcPr>
            <w:tcW w:type="dxa" w:w="4968"/>
            <w:vAlign w:val="center"/>
          </w:tcPr>
          <w:p>
            <w:pPr>
              <w:spacing w:after="20"/>
            </w:pPr>
            <w:r/>
            <w:r>
              <w:rPr>
                <w:rFonts w:ascii="Yu Gothic" w:hAnsi="Yu Gothic" w:eastAsia="游ゴシック"/>
                <w:b w:val="0"/>
                <w:sz w:val="18"/>
              </w:rPr>
              <w:t>球面調和関数</w:t>
            </w:r>
          </w:p>
        </w:tc>
        <w:tc>
          <w:tcPr>
            <w:tcW w:type="dxa" w:w="4968"/>
            <w:vAlign w:val="center"/>
          </w:tcPr>
          <w:p>
            <w:pPr>
              <w:spacing w:after="20"/>
            </w:pPr>
            <w:r/>
            <w:r>
              <w:rPr>
                <w:rFonts w:ascii="Yu Gothic" w:hAnsi="Yu Gothic" w:eastAsia="游ゴシック"/>
                <w:b w:val="0"/>
                <w:sz w:val="18"/>
              </w:rPr>
              <w:t>球面上の方向依存関数。回転等変カーネルの構成に使う。</w:t>
            </w:r>
          </w:p>
        </w:tc>
      </w:tr>
      <w:tr>
        <w:tc>
          <w:tcPr>
            <w:tcW w:type="dxa" w:w="4968"/>
            <w:vAlign w:val="center"/>
          </w:tcPr>
          <w:p>
            <w:pPr>
              <w:spacing w:after="20"/>
            </w:pPr>
            <w:r/>
            <w:r>
              <w:rPr>
                <w:rFonts w:ascii="Yu Gothic" w:hAnsi="Yu Gothic" w:eastAsia="游ゴシック"/>
                <w:b w:val="0"/>
                <w:sz w:val="18"/>
              </w:rPr>
              <w:t>既約表現</w:t>
            </w:r>
          </w:p>
        </w:tc>
        <w:tc>
          <w:tcPr>
            <w:tcW w:type="dxa" w:w="4968"/>
            <w:vAlign w:val="center"/>
          </w:tcPr>
          <w:p>
            <w:pPr>
              <w:spacing w:after="20"/>
            </w:pPr>
            <w:r/>
            <w:r>
              <w:rPr>
                <w:rFonts w:ascii="Yu Gothic" w:hAnsi="Yu Gothic" w:eastAsia="游ゴシック"/>
                <w:b w:val="0"/>
                <w:sz w:val="18"/>
              </w:rPr>
              <w:t>回転作用を基本的な成分に分解した表現。</w:t>
            </w:r>
          </w:p>
        </w:tc>
      </w:tr>
      <w:tr>
        <w:tc>
          <w:tcPr>
            <w:tcW w:type="dxa" w:w="4968"/>
            <w:vAlign w:val="center"/>
          </w:tcPr>
          <w:p>
            <w:pPr>
              <w:spacing w:after="20"/>
            </w:pPr>
            <w:r/>
            <w:r>
              <w:rPr>
                <w:rFonts w:ascii="Yu Gothic" w:hAnsi="Yu Gothic" w:eastAsia="游ゴシック"/>
                <w:b w:val="0"/>
                <w:sz w:val="18"/>
              </w:rPr>
              <w:t>Clebsch–Gordan係数</w:t>
            </w:r>
          </w:p>
        </w:tc>
        <w:tc>
          <w:tcPr>
            <w:tcW w:type="dxa" w:w="4968"/>
            <w:vAlign w:val="center"/>
          </w:tcPr>
          <w:p>
            <w:pPr>
              <w:spacing w:after="20"/>
            </w:pPr>
            <w:r/>
            <w:r>
              <w:rPr>
                <w:rFonts w:ascii="Yu Gothic" w:hAnsi="Yu Gothic" w:eastAsia="游ゴシック"/>
                <w:b w:val="0"/>
                <w:sz w:val="18"/>
              </w:rPr>
              <w:t>表現のテンソル積を別の表現へ結合する係数。</w:t>
            </w:r>
          </w:p>
        </w:tc>
      </w:tr>
      <w:tr>
        <w:tc>
          <w:tcPr>
            <w:tcW w:type="dxa" w:w="4968"/>
            <w:vAlign w:val="center"/>
          </w:tcPr>
          <w:p>
            <w:pPr>
              <w:spacing w:after="20"/>
            </w:pPr>
            <w:r/>
            <w:r>
              <w:rPr>
                <w:rFonts w:ascii="Yu Gothic" w:hAnsi="Yu Gothic" w:eastAsia="游ゴシック"/>
                <w:b w:val="0"/>
                <w:sz w:val="18"/>
              </w:rPr>
              <w:t>HD95</w:t>
            </w:r>
          </w:p>
        </w:tc>
        <w:tc>
          <w:tcPr>
            <w:tcW w:type="dxa" w:w="4968"/>
            <w:vAlign w:val="center"/>
          </w:tcPr>
          <w:p>
            <w:pPr>
              <w:spacing w:after="20"/>
            </w:pPr>
            <w:r/>
            <w:r>
              <w:rPr>
                <w:rFonts w:ascii="Yu Gothic" w:hAnsi="Yu Gothic" w:eastAsia="游ゴシック"/>
                <w:b w:val="0"/>
                <w:sz w:val="18"/>
              </w:rPr>
              <w:t>表面距離の95パーセンタイル。境界誤差の指標。</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研究案・検証前の設計資料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研究設計メモ｜独自3次元畳み込み演算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游ゴシック"/>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游ゴシック"/>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游ゴシック"/>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游ゴシック"/>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59"/>
    </w:pPr>
    <w:rPr>
      <w:rFonts w:ascii="Consolas" w:hAnsi="Consolas" w:eastAsia="Yu Gothi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独自の3次元畳み込み演算の設計：領域分割向け研究提案</dc:title>
  <dc:subject>回転等変性を重視した3D畳み込み演算・領域分割モデル</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