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t>Как нащупать рынок?</w:t>
      </w:r>
      <w:r>
        <w:pict>
          <v:rect fillcolor="#FFFFFF" strokecolor="#000000" strokeweight="0pt" style="position:absolute;width:9.95pt;height:17.95pt;mso-wrap-distance-left:2.25pt;mso-wrap-distance-right:0pt;mso-wrap-distance-top:0pt;mso-wrap-distance-bottom:0pt;margin-top:5.25pt;margin-left:2.25pt">
            <v:textbox inset="0.0194444444444444in,0.0194444444444444in,0.0194444444444444in,0in">
              <w:txbxContent>
                <w:p>
                  <w:pPr>
                    <w:pStyle w:val="TextBody"/>
                    <w:spacing w:lineRule="auto" w:line="288" w:before="0" w:after="14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Маркетинговые компании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Журналы, интервью, статьи и интерет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Ассоциации</w:t>
      </w:r>
    </w:p>
    <w:p>
      <w:pPr>
        <w:pStyle w:val="Normal"/>
        <w:jc w:val="left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Инвестор должен понимать на каком рынке он работает (Татарстан, Россия, Евразия итд)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  <w:color w:val="9900FF"/>
          <w:sz w:val="24"/>
        </w:rPr>
      </w:pPr>
      <w:r>
        <w:rPr>
          <w:b/>
          <w:bCs/>
          <w:sz w:val="24"/>
        </w:rPr>
        <w:t>Задание:</w:t>
      </w:r>
      <w:r>
        <w:rPr>
          <w:b w:val="false"/>
          <w:bCs w:val="false"/>
          <w:sz w:val="24"/>
        </w:rPr>
        <w:t xml:space="preserve"> Сформулировать рынок (порядок темпа роста), гипотезу о продукте. 10 ссылок </w:t>
      </w:r>
      <w:r>
        <w:rPr>
          <w:b w:val="false"/>
          <w:bCs w:val="false"/>
          <w:color w:val="9900FF"/>
          <w:sz w:val="24"/>
        </w:rPr>
        <w:t>(ВЫБРАЛИ РЕЦИРКУЛЯТОР)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 xml:space="preserve">Решение: </w:t>
      </w:r>
      <w:r>
        <w:rPr>
          <w:b w:val="false"/>
          <w:bCs w:val="false"/>
        </w:rPr>
        <w:t>Рынок медицинского оборудования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По данным MarketLine размер мирового рынка медицинского оборудования и связанных с этих услуг (Global Health Care Equipment &amp; Supplies) составил в 2013 году 361,7768 млрд.долл. Рынок характеризовался довольно высокими темпами роста (CAGR) - в среднем, 5,1 % в год в период 2009-2013, причем по прогнозам экспертов, эти темпы должны были сохраниться в 2013-2018 годах </w:t>
      </w:r>
    </w:p>
    <w:p>
      <w:pPr>
        <w:pStyle w:val="Normal"/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r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  <w:t>sofp.ru/dl.php?id=597 (11% и 18%)</w:t>
      </w:r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2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http://www.rg.ru/2013/01/29/buduschee.html</w:t>
        </w:r>
      </w:hyperlink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3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http://www.medprom2020.ru/userfiles/files/ob_stat.pdf</w:t>
        </w:r>
      </w:hyperlink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Среднегодовой темп прироста Российского рынка за период 2004-2011 гг. составил 12%. Наиболее значимыми и востребованными сегментами являются оборудование и изделия с высокой степенью визуализации, оборудование и изделия для кардиоваскулярной хирургии, а также изделия для лабораторной диагностики.</w:t>
      </w:r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4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http://journal-s.org/index.php/sisp/article/view/1201323/pdf_40</w:t>
        </w:r>
      </w:hyperlink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5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http://www.step-by-step.ru/upload/iblock/f69/demo.pdf</w:t>
        </w:r>
      </w:hyperlink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hyperlink r:id="rId6">
        <w:r>
          <w:rPr>
            <w:rStyle w:val="Quotation"/>
            <w:rFonts w:ascii="arial;sans-serif" w:hAnsi="arial;sans-serif"/>
            <w:b/>
            <w:bCs/>
            <w:i w:val="false"/>
            <w:caps w:val="false"/>
            <w:smallCaps w:val="false"/>
            <w:color w:val="006621"/>
            <w:spacing w:val="0"/>
            <w:sz w:val="21"/>
          </w:rPr>
          <w:t>http://sentech-medical.ru/component/s_products/top/151/list/166</w:t>
        </w:r>
      </w:hyperlink>
    </w:p>
    <w:p>
      <w:pPr>
        <w:pStyle w:val="Normal"/>
        <w:numPr>
          <w:ilvl w:val="0"/>
          <w:numId w:val="2"/>
        </w:numPr>
        <w:jc w:val="left"/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</w:pPr>
      <w:r>
        <w:rPr>
          <w:rStyle w:val="Quotation"/>
          <w:rFonts w:ascii="arial;sans-serif" w:hAnsi="arial;sans-serif"/>
          <w:b/>
          <w:bCs/>
          <w:i w:val="false"/>
          <w:caps w:val="false"/>
          <w:smallCaps w:val="false"/>
          <w:color w:val="006621"/>
          <w:spacing w:val="0"/>
          <w:sz w:val="21"/>
        </w:rPr>
        <w:t>http://www.price-med.ru/art.php?id=308&amp;r=8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ind w:left="45" w:right="45" w:hanging="0"/>
        <w:jc w:val="center"/>
        <w:rPr>
          <w:b/>
          <w:bCs/>
        </w:rPr>
      </w:pPr>
      <w:r>
        <w:rPr>
          <w:b/>
          <w:bCs/>
        </w:rPr>
        <w:t>Minimal Value Product (минимальный продукт)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ind w:left="45" w:right="45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Важный момент. Облегчает внедрение. Надо сосредоточиться сначала на одном.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ind w:left="45" w:right="45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ind w:left="45" w:right="45" w:hanging="0"/>
        <w:jc w:val="center"/>
        <w:rPr>
          <w:b/>
          <w:bCs/>
        </w:rPr>
      </w:pPr>
      <w:r>
        <w:rPr>
          <w:b/>
          <w:bCs/>
        </w:rPr>
        <w:t>Таблица сравнения с конкурентами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Обезараживатель Тион А </w:t>
      </w:r>
      <w:r>
        <w:fldChar w:fldCharType="begin"/>
      </w:r>
      <w:r>
        <w:instrText> HYPERLINK "http://pro.tion.ru/catalog_all/auto/" \l "principle"</w:instrText>
      </w:r>
      <w:r>
        <w:fldChar w:fldCharType="separate"/>
      </w:r>
      <w:r>
        <w:rPr>
          <w:rStyle w:val="InternetLink"/>
          <w:b/>
          <w:bCs/>
        </w:rPr>
        <w:t>http://pro.tion.ru/catalog_all/auto/#principle</w:t>
      </w:r>
      <w:r>
        <w:fldChar w:fldCharType="end"/>
      </w:r>
      <w:r>
        <w:rPr>
          <w:b/>
          <w:bCs/>
        </w:rPr>
        <w:t>)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Тион Magic Air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fldChar w:fldCharType="begin"/>
      </w:r>
      <w:r>
        <w:instrText> HYPERLINK "http://tion.ru/magicair/" \l "what_is"</w:instrText>
      </w:r>
      <w:r>
        <w:fldChar w:fldCharType="separate"/>
      </w:r>
      <w:r>
        <w:rPr>
          <w:rStyle w:val="InternetLink"/>
          <w:b/>
          <w:bCs/>
        </w:rPr>
        <w:t>http://tion.ru/magicair/#what_is</w:t>
      </w:r>
      <w:r>
        <w:fldChar w:fldCharType="end"/>
      </w:r>
      <w:r>
        <w:rPr>
          <w:b/>
          <w:bCs/>
        </w:rPr>
        <w:t>)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  <w:t xml:space="preserve">Xiomi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rStyle w:val="InternetLink"/>
          <w:b/>
          <w:bCs/>
        </w:rPr>
      </w:pPr>
      <w:hyperlink r:id="rId7">
        <w:r>
          <w:rPr>
            <w:rStyle w:val="InternetLink"/>
            <w:b/>
            <w:bCs/>
          </w:rPr>
          <w:t>http://www.macdigger.ru/iphone-ipod/xiaomi-anonsirovala-umnyj-ochistitel-vozduxa-mi-air-purifier-vtorogo-pokoleniya.html</w:t>
        </w:r>
      </w:hyperlink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Риттал — глобальные системы контроля микроклимата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/>
          <w:bCs/>
        </w:rPr>
        <w:tab/>
        <w:t xml:space="preserve">MVP </w:t>
      </w:r>
      <w:r>
        <w:rPr>
          <w:b w:val="false"/>
          <w:bCs w:val="false"/>
        </w:rPr>
        <w:t>Рециркулятор, который передает данные с датчиков и принимает команды. Также обладает настраиваемый системой режимов.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center"/>
        <w:rPr>
          <w:b/>
          <w:bCs/>
        </w:rPr>
      </w:pPr>
      <w:r>
        <w:rPr>
          <w:b/>
          <w:bCs/>
        </w:rPr>
        <w:t>Каналы продаж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частные медицинские компании (салоны красоты и тд)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государственные тендеры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магазины бытовой техники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интернет-магазины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/>
          <w:bCs/>
        </w:rPr>
        <w:t xml:space="preserve">В начале: </w:t>
      </w:r>
      <w:r>
        <w:rPr>
          <w:b w:val="false"/>
          <w:bCs w:val="false"/>
        </w:rPr>
        <w:t>Работы с мед учреждениями. Участие в выставках, конференциях, показах. Бесплатные пробные версии.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center"/>
        <w:rPr>
          <w:b/>
          <w:bCs/>
        </w:rPr>
      </w:pPr>
      <w:r>
        <w:rPr>
          <w:b/>
          <w:bCs/>
        </w:rPr>
        <w:t>Стратегия «голубого океана»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Модель 4 действий.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Какие факторы, которые отрасль принимает как само собой разумеющиеся, следует упразднить?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Какие факторы следует значительно снизить по сравнению с существующими в отрасли стандартами?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Какие факторы следует значительно повысить по сравнению с существующими в отрасли стандартами?</w:t>
      </w:r>
    </w:p>
    <w:p>
      <w:pPr>
        <w:pStyle w:val="TextBody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Какие факторы из никогда ранее не предлагавшихся отраслью следует соз</w:t>
      </w:r>
      <w:bookmarkStart w:id="0" w:name="__DdeLink__78_1041596015"/>
      <w:r>
        <w:rPr>
          <w:b w:val="false"/>
          <w:bCs w:val="false"/>
        </w:rPr>
        <w:t>д</w:t>
      </w:r>
      <w:bookmarkEnd w:id="0"/>
      <w:r>
        <w:rPr>
          <w:b w:val="false"/>
          <w:bCs w:val="false"/>
        </w:rPr>
        <w:t xml:space="preserve">ать?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 w:val="false"/>
          <w:bCs w:val="false"/>
        </w:rPr>
      </w:pPr>
      <w:r>
        <w:rPr>
          <w:b/>
          <w:bCs/>
        </w:rPr>
        <w:t xml:space="preserve">Совет: </w:t>
      </w:r>
      <w:r>
        <w:rPr>
          <w:b w:val="false"/>
          <w:bCs w:val="false"/>
        </w:rPr>
        <w:t>вывести одновременно дорогой и качественый, дешевый. И зарабатывать на дорогом.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  <w:t>Можно работать с интеграторами или компаниями, которые обеспечиват школы\университеты\компании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40" w:before="0" w:after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97"/>
        </w:tabs>
        <w:ind w:left="7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7"/>
        </w:tabs>
        <w:ind w:left="11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7"/>
        </w:tabs>
        <w:ind w:left="15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7"/>
        </w:tabs>
        <w:ind w:left="18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7"/>
        </w:tabs>
        <w:ind w:left="22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7"/>
        </w:tabs>
        <w:ind w:left="25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7"/>
        </w:tabs>
        <w:ind w:left="33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7"/>
        </w:tabs>
        <w:ind w:left="367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Quotation">
    <w:name w:val="Quotation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027b8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136b3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136b3"/>
    <w:pPr>
      <w:spacing w:lineRule="auto" w:after="0" w:line="240"/>
    </w:p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space="0" w:sz="4" w:themeColor="text1" w:color="7F7F7F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g.ru/2013/01/29/buduschee.html" TargetMode="External"/><Relationship Id="rId3" Type="http://schemas.openxmlformats.org/officeDocument/2006/relationships/hyperlink" Target="http://www.medprom2020.ru/userfiles/files/ob_stat.pdf" TargetMode="External"/><Relationship Id="rId4" Type="http://schemas.openxmlformats.org/officeDocument/2006/relationships/hyperlink" Target="http://journal-s.org/index.php/sisp/article/view/1201323/pdf_40" TargetMode="External"/><Relationship Id="rId5" Type="http://schemas.openxmlformats.org/officeDocument/2006/relationships/hyperlink" Target="http://www.step-by-step.ru/upload/iblock/f69/demo.pdf" TargetMode="External"/><Relationship Id="rId6" Type="http://schemas.openxmlformats.org/officeDocument/2006/relationships/hyperlink" Target="http://sentech-medical.ru/component/s_products/top/151/list/166" TargetMode="External"/><Relationship Id="rId7" Type="http://schemas.openxmlformats.org/officeDocument/2006/relationships/hyperlink" Target="http://www.macdigger.ru/iphone-ipod/xiaomi-anonsirovala-umnyj-ochistitel-vozduxa-mi-air-purifier-vtorogo-pokoleniya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2016-01-20T14:50:00Z</dcterms:created>
  <dc:creator>RePack by Diakov</dc:creator>
  <dc:language>ru-RU</dc:language>
  <cp:lastModifiedBy>RePack by Diakov</cp:lastModifiedBy>
  <dcterms:modified xsi:type="dcterms:W3CDTF">2016-01-20T16:45:00Z</dcterms:modified>
  <cp:revision>6</cp:revision>
</cp:coreProperties>
</file>