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1BF" w:rsidRPr="00443823" w:rsidRDefault="00443823" w:rsidP="00443823">
      <w:pPr>
        <w:pStyle w:val="Title"/>
        <w:jc w:val="center"/>
        <w:rPr>
          <w:sz w:val="54"/>
        </w:rPr>
      </w:pPr>
      <w:r>
        <w:rPr>
          <w:sz w:val="54"/>
        </w:rPr>
        <w:t xml:space="preserve">Hugging </w:t>
      </w:r>
      <w:r w:rsidR="00DE3868" w:rsidRPr="00443823">
        <w:rPr>
          <w:sz w:val="54"/>
        </w:rPr>
        <w:t>Face Pro Subscription Benefits and Limitations</w:t>
      </w:r>
    </w:p>
    <w:p w:rsidR="006D21BF" w:rsidRDefault="00DE3868" w:rsidP="00443823">
      <w:pPr>
        <w:ind w:firstLine="720"/>
        <w:jc w:val="both"/>
      </w:pPr>
      <w:r>
        <w:t xml:space="preserve">Purchasing a Hugging Face Pro subscription offers several benefits, especially if you're working extensively with NLP models and require enhanced API access. Here's a breakdown of the features and </w:t>
      </w:r>
      <w:r>
        <w:t>limitations associated with the Pro plan:</w:t>
      </w:r>
    </w:p>
    <w:p w:rsidR="006D21BF" w:rsidRDefault="00DE3868" w:rsidP="00443823">
      <w:pPr>
        <w:pStyle w:val="Heading1"/>
        <w:numPr>
          <w:ilvl w:val="0"/>
          <w:numId w:val="10"/>
        </w:numPr>
      </w:pPr>
      <w:r>
        <w:t>Key Benefits of Hugging Face Pro ($9/month)</w:t>
      </w:r>
    </w:p>
    <w:p w:rsidR="006D21BF" w:rsidRPr="00443823" w:rsidRDefault="00DE3868" w:rsidP="00443823">
      <w:pPr>
        <w:pStyle w:val="ListBullet"/>
        <w:numPr>
          <w:ilvl w:val="0"/>
          <w:numId w:val="1"/>
        </w:numPr>
        <w:ind w:left="1080"/>
        <w:rPr>
          <w:b/>
          <w:u w:val="single"/>
        </w:rPr>
      </w:pPr>
      <w:r w:rsidRPr="00443823">
        <w:rPr>
          <w:b/>
          <w:u w:val="single"/>
        </w:rPr>
        <w:t>Access to Exclusive Models:</w:t>
      </w:r>
    </w:p>
    <w:p w:rsidR="006D21BF" w:rsidRDefault="00DE3868" w:rsidP="00443823">
      <w:pPr>
        <w:ind w:left="360" w:firstLine="720"/>
        <w:jc w:val="both"/>
      </w:pPr>
      <w:r>
        <w:t>Pro users gain access to a curated list of powerful models, including Meta Llama 3 Instruct, Mixtral 8x7B Instruct, Nous Hermes 2 Mixtral 8</w:t>
      </w:r>
      <w:r>
        <w:t xml:space="preserve">x7B DPO, Zephyr 7B β, Llama </w:t>
      </w:r>
      <w:r w:rsidR="00443823">
        <w:t>2 Chat, Mistral 7B Instruct v0.3</w:t>
      </w:r>
      <w:r>
        <w:t>, Code Llama, Stable Diffusion XL, and Bark.</w:t>
      </w:r>
    </w:p>
    <w:p w:rsidR="006D21BF" w:rsidRPr="00443823" w:rsidRDefault="00DE3868" w:rsidP="00443823">
      <w:pPr>
        <w:pStyle w:val="ListBullet"/>
        <w:numPr>
          <w:ilvl w:val="0"/>
          <w:numId w:val="1"/>
        </w:numPr>
        <w:ind w:left="1080"/>
        <w:rPr>
          <w:b/>
          <w:u w:val="single"/>
        </w:rPr>
      </w:pPr>
      <w:r w:rsidRPr="00443823">
        <w:rPr>
          <w:b/>
          <w:u w:val="single"/>
        </w:rPr>
        <w:t>Higher Rate Limits:</w:t>
      </w:r>
    </w:p>
    <w:p w:rsidR="006D21BF" w:rsidRDefault="00DE3868" w:rsidP="00443823">
      <w:pPr>
        <w:ind w:left="360" w:firstLine="720"/>
        <w:jc w:val="both"/>
      </w:pPr>
      <w:r>
        <w:t>Pro users enjoy higher API rate limits compared to free users, facilitating more extensive experimentation and prototyping.</w:t>
      </w:r>
    </w:p>
    <w:p w:rsidR="006D21BF" w:rsidRPr="00443823" w:rsidRDefault="00DE3868" w:rsidP="00443823">
      <w:pPr>
        <w:pStyle w:val="ListBullet"/>
        <w:numPr>
          <w:ilvl w:val="0"/>
          <w:numId w:val="1"/>
        </w:numPr>
        <w:ind w:left="1080"/>
        <w:rPr>
          <w:b/>
          <w:u w:val="single"/>
        </w:rPr>
      </w:pPr>
      <w:r w:rsidRPr="00443823">
        <w:rPr>
          <w:b/>
          <w:u w:val="single"/>
        </w:rPr>
        <w:t>Ultra-F</w:t>
      </w:r>
      <w:r w:rsidRPr="00443823">
        <w:rPr>
          <w:b/>
          <w:u w:val="single"/>
        </w:rPr>
        <w:t>ast Inference:</w:t>
      </w:r>
    </w:p>
    <w:p w:rsidR="006D21BF" w:rsidRDefault="00DE3868" w:rsidP="00443823">
      <w:pPr>
        <w:ind w:left="360" w:firstLine="720"/>
      </w:pPr>
      <w:r>
        <w:t>Benefit from optimized endpoints powered by text-generation-inference, enabling faster model inference.</w:t>
      </w:r>
    </w:p>
    <w:p w:rsidR="006D21BF" w:rsidRPr="00443823" w:rsidRDefault="00DE3868" w:rsidP="00443823">
      <w:pPr>
        <w:pStyle w:val="ListBullet"/>
        <w:numPr>
          <w:ilvl w:val="0"/>
          <w:numId w:val="1"/>
        </w:numPr>
        <w:ind w:left="1080"/>
        <w:rPr>
          <w:b/>
          <w:u w:val="single"/>
        </w:rPr>
      </w:pPr>
      <w:r w:rsidRPr="00443823">
        <w:rPr>
          <w:b/>
          <w:u w:val="single"/>
        </w:rPr>
        <w:t>Included Inference Credits:</w:t>
      </w:r>
    </w:p>
    <w:p w:rsidR="006D21BF" w:rsidRDefault="00DE3868" w:rsidP="00443823">
      <w:pPr>
        <w:ind w:left="360" w:firstLine="720"/>
      </w:pPr>
      <w:r>
        <w:t>The Pro plan includes $2 worth of inference credits monthly, which can be used across all Inference Providers</w:t>
      </w:r>
      <w:r>
        <w:t>.</w:t>
      </w:r>
    </w:p>
    <w:p w:rsidR="006D21BF" w:rsidRPr="00443823" w:rsidRDefault="00DE3868" w:rsidP="00443823">
      <w:pPr>
        <w:pStyle w:val="ListBullet"/>
        <w:numPr>
          <w:ilvl w:val="0"/>
          <w:numId w:val="1"/>
        </w:numPr>
        <w:ind w:left="1080"/>
        <w:rPr>
          <w:b/>
          <w:u w:val="single"/>
        </w:rPr>
      </w:pPr>
      <w:r w:rsidRPr="00443823">
        <w:rPr>
          <w:b/>
          <w:u w:val="single"/>
        </w:rPr>
        <w:t>Spaces Hosting and Development:</w:t>
      </w:r>
    </w:p>
    <w:p w:rsidR="006D21BF" w:rsidRDefault="00DE3868" w:rsidP="00443823">
      <w:pPr>
        <w:ind w:left="360" w:firstLine="720"/>
      </w:pPr>
      <w:r>
        <w:t xml:space="preserve">Create </w:t>
      </w:r>
      <w:proofErr w:type="spellStart"/>
      <w:r>
        <w:t>ZeroGPU</w:t>
      </w:r>
      <w:proofErr w:type="spellEnd"/>
      <w:r>
        <w:t xml:space="preserve"> Spaces using distributed A100 hardware and enjoy faster iteration cycles with SSH/VS Code support for Spaces.</w:t>
      </w:r>
    </w:p>
    <w:p w:rsidR="006D21BF" w:rsidRPr="00443823" w:rsidRDefault="00DE3868" w:rsidP="00443823">
      <w:pPr>
        <w:pStyle w:val="ListBullet"/>
        <w:numPr>
          <w:ilvl w:val="0"/>
          <w:numId w:val="1"/>
        </w:numPr>
        <w:ind w:left="1080"/>
        <w:rPr>
          <w:b/>
          <w:u w:val="single"/>
        </w:rPr>
      </w:pPr>
      <w:r w:rsidRPr="00443823">
        <w:rPr>
          <w:b/>
          <w:u w:val="single"/>
        </w:rPr>
        <w:t>Early Access and Community Features:</w:t>
      </w:r>
    </w:p>
    <w:p w:rsidR="006D21BF" w:rsidRDefault="00DE3868" w:rsidP="00443823">
      <w:pPr>
        <w:ind w:left="410" w:firstLine="720"/>
      </w:pPr>
      <w:r>
        <w:t>Get exclusive early access to upcoming features, publish art</w:t>
      </w:r>
      <w:r>
        <w:t>icles to the Hugging Face blog, share short updates with the community, and display a PRO badge on your profile.</w:t>
      </w:r>
    </w:p>
    <w:p w:rsidR="006D21BF" w:rsidRDefault="00DE3868" w:rsidP="00443823">
      <w:pPr>
        <w:pStyle w:val="Heading1"/>
        <w:numPr>
          <w:ilvl w:val="0"/>
          <w:numId w:val="10"/>
        </w:numPr>
      </w:pPr>
      <w:r>
        <w:lastRenderedPageBreak/>
        <w:t>Limitations: Is API Usage Unlimited?</w:t>
      </w:r>
    </w:p>
    <w:p w:rsidR="006D21BF" w:rsidRDefault="00DE3868">
      <w:r>
        <w:t>No, the Hugging Face Pro subscription does not provide unlimited API usage. While Pro users benefit fro</w:t>
      </w:r>
      <w:r>
        <w:t>m higher rate limits and included inference credits, usage beyond the included credits is subject to additional charges on a pay-as-you-go basis. This model ensures affordability and scalability for various use cases.</w:t>
      </w:r>
    </w:p>
    <w:p w:rsidR="00443823" w:rsidRPr="00443823" w:rsidRDefault="00DE3868" w:rsidP="00443823">
      <w:pPr>
        <w:pStyle w:val="Heading1"/>
        <w:numPr>
          <w:ilvl w:val="0"/>
          <w:numId w:val="10"/>
        </w:numPr>
        <w:spacing w:after="240"/>
      </w:pPr>
      <w:r>
        <w:t>Summary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6D21BF">
        <w:tc>
          <w:tcPr>
            <w:tcW w:w="2880" w:type="dxa"/>
          </w:tcPr>
          <w:p w:rsidR="006D21BF" w:rsidRPr="00DE3868" w:rsidRDefault="00DE3868" w:rsidP="00DE3868">
            <w:pPr>
              <w:spacing w:after="240"/>
              <w:jc w:val="center"/>
              <w:rPr>
                <w:b/>
              </w:rPr>
            </w:pPr>
            <w:r w:rsidRPr="00DE3868">
              <w:rPr>
                <w:b/>
              </w:rPr>
              <w:t>Feature</w:t>
            </w:r>
          </w:p>
        </w:tc>
        <w:tc>
          <w:tcPr>
            <w:tcW w:w="2880" w:type="dxa"/>
          </w:tcPr>
          <w:p w:rsidR="006D21BF" w:rsidRPr="00DE3868" w:rsidRDefault="00DE3868" w:rsidP="00DE3868">
            <w:pPr>
              <w:spacing w:after="240"/>
              <w:jc w:val="center"/>
              <w:rPr>
                <w:b/>
              </w:rPr>
            </w:pPr>
            <w:r w:rsidRPr="00DE3868">
              <w:rPr>
                <w:b/>
              </w:rPr>
              <w:t>Free Plan</w:t>
            </w:r>
          </w:p>
        </w:tc>
        <w:tc>
          <w:tcPr>
            <w:tcW w:w="2880" w:type="dxa"/>
          </w:tcPr>
          <w:p w:rsidR="006D21BF" w:rsidRDefault="00DE3868" w:rsidP="00DE3868">
            <w:pPr>
              <w:spacing w:after="240"/>
              <w:jc w:val="center"/>
            </w:pPr>
            <w:r>
              <w:t xml:space="preserve">Pro Plan </w:t>
            </w:r>
            <w:r>
              <w:t>($9/month)</w:t>
            </w:r>
          </w:p>
        </w:tc>
      </w:tr>
      <w:tr w:rsidR="006D21BF">
        <w:tc>
          <w:tcPr>
            <w:tcW w:w="2880" w:type="dxa"/>
          </w:tcPr>
          <w:p w:rsidR="006D21BF" w:rsidRDefault="00DE3868" w:rsidP="00DE3868">
            <w:pPr>
              <w:spacing w:after="240"/>
              <w:jc w:val="center"/>
            </w:pPr>
            <w:r>
              <w:t>Access to Exclusive Models</w:t>
            </w:r>
          </w:p>
        </w:tc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❌</w:t>
            </w:r>
          </w:p>
        </w:tc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✅</w:t>
            </w:r>
          </w:p>
        </w:tc>
      </w:tr>
      <w:tr w:rsidR="006D21BF"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Higher API Rate Limits</w:t>
            </w:r>
          </w:p>
        </w:tc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❌</w:t>
            </w:r>
          </w:p>
        </w:tc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✅</w:t>
            </w:r>
          </w:p>
        </w:tc>
      </w:tr>
      <w:tr w:rsidR="006D21BF"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Ultra-Fast Inference</w:t>
            </w:r>
          </w:p>
        </w:tc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❌</w:t>
            </w:r>
          </w:p>
        </w:tc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✅</w:t>
            </w:r>
          </w:p>
        </w:tc>
      </w:tr>
      <w:tr w:rsidR="006D21BF"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Included Inference Credits</w:t>
            </w:r>
          </w:p>
        </w:tc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❌</w:t>
            </w:r>
          </w:p>
        </w:tc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 xml:space="preserve">✅  </w:t>
            </w:r>
            <w:r>
              <w:t xml:space="preserve"> ($2/month)</w:t>
            </w:r>
          </w:p>
        </w:tc>
      </w:tr>
      <w:tr w:rsidR="006D21BF"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Spaces Hosting and Dev Support</w:t>
            </w:r>
          </w:p>
        </w:tc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❌</w:t>
            </w:r>
          </w:p>
        </w:tc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✅</w:t>
            </w:r>
          </w:p>
        </w:tc>
      </w:tr>
      <w:tr w:rsidR="006D21BF"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Early Access to Features</w:t>
            </w:r>
          </w:p>
        </w:tc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❌</w:t>
            </w:r>
          </w:p>
        </w:tc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✅</w:t>
            </w:r>
          </w:p>
        </w:tc>
      </w:tr>
      <w:tr w:rsidR="006D21BF"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Unlimited API Usage</w:t>
            </w:r>
          </w:p>
        </w:tc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>❌</w:t>
            </w:r>
          </w:p>
        </w:tc>
        <w:tc>
          <w:tcPr>
            <w:tcW w:w="2880" w:type="dxa"/>
          </w:tcPr>
          <w:p w:rsidR="006D21BF" w:rsidRDefault="00DE3868" w:rsidP="00DE3868">
            <w:pPr>
              <w:jc w:val="center"/>
            </w:pPr>
            <w:r>
              <w:t xml:space="preserve">❌  </w:t>
            </w:r>
            <w:r>
              <w:t xml:space="preserve"> (Pay-as-you-go beyond </w:t>
            </w:r>
            <w:r>
              <w:t>credits)</w:t>
            </w:r>
          </w:p>
        </w:tc>
      </w:tr>
    </w:tbl>
    <w:p w:rsidR="006D21BF" w:rsidRDefault="00DE3868" w:rsidP="00443823">
      <w:pPr>
        <w:spacing w:before="240"/>
        <w:ind w:firstLine="720"/>
        <w:jc w:val="both"/>
      </w:pPr>
      <w:r>
        <w:t>If you're planning to integrate Hugging Face models into your projects and require consistent, higher-volume API access, the Pro subscription offers valuable enhancements. However, for heavy production applications, consider monitoring your usage</w:t>
      </w:r>
      <w:r>
        <w:t xml:space="preserve"> to manage costs effectively.</w:t>
      </w:r>
    </w:p>
    <w:sectPr w:rsidR="006D21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9">
    <w:nsid w:val="3A5C2859"/>
    <w:multiLevelType w:val="hybridMultilevel"/>
    <w:tmpl w:val="0FC2E2EE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43823"/>
    <w:rsid w:val="006D21BF"/>
    <w:rsid w:val="00AA1D8D"/>
    <w:rsid w:val="00B47730"/>
    <w:rsid w:val="00CB0664"/>
    <w:rsid w:val="00DE3868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2</cp:revision>
  <dcterms:created xsi:type="dcterms:W3CDTF">2013-12-23T23:15:00Z</dcterms:created>
  <dcterms:modified xsi:type="dcterms:W3CDTF">2025-04-25T10:42:00Z</dcterms:modified>
  <cp:category/>
</cp:coreProperties>
</file>