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Regulatory Compliance</w:t>
      </w:r>
    </w:p>
    <w:p>
      <w:pPr>
        <w:pStyle w:val="Heading1"/>
      </w:pPr>
      <w:r>
        <w:t>Strategic Analysis &amp; Action Plan</w:t>
      </w:r>
    </w:p>
    <w:p>
      <w:r>
        <w:rPr>
          <w:b/>
        </w:rPr>
        <w:t xml:space="preserve">Prepared for: </w:t>
      </w:r>
      <w:r>
        <w:t>AIB Life</w:t>
      </w:r>
    </w:p>
    <w:p>
      <w:r>
        <w:rPr>
          <w:b/>
        </w:rPr>
        <w:t xml:space="preserve">Date: </w:t>
      </w:r>
      <w:r>
        <w:t>May 21, 2025</w:t>
      </w:r>
    </w:p>
    <w:p>
      <w:pPr>
        <w:jc w:val="center"/>
      </w:pPr>
      <w:r>
        <w:rPr>
          <w:b/>
        </w:rPr>
        <w:t>CONFIDENTIAL</w:t>
      </w:r>
    </w:p>
    <w:p>
      <w:r>
        <w:br w:type="page"/>
      </w:r>
    </w:p>
    <w:p>
      <w:pPr>
        <w:pStyle w:val="Heading1"/>
      </w:pPr>
      <w:r>
        <w:t>Table of Contents</w:t>
      </w:r>
    </w:p>
    <w:p>
      <w:r>
        <w:rPr>
          <w:b/>
        </w:rPr>
        <w:t>1. Executive Summary</w:t>
      </w:r>
      <w:r>
        <w:br/>
        <w:t xml:space="preserve">   • Key Findings</w:t>
        <w:br/>
        <w:t xml:space="preserve">   • Regulatory Landscape</w:t>
        <w:br/>
        <w:t xml:space="preserve">   • Compliance Posture</w:t>
        <w:br/>
        <w:br/>
      </w:r>
      <w:r>
        <w:rPr>
          <w:b/>
        </w:rPr>
        <w:t>2. Thematic Analysis</w:t>
      </w:r>
      <w:r>
        <w:br/>
        <w:t xml:space="preserve">   • Key Regulatory Themes</w:t>
        <w:br/>
        <w:t xml:space="preserve">   • Requirements by Theme</w:t>
        <w:br/>
        <w:t xml:space="preserve">   • Implementation Considerations</w:t>
        <w:br/>
        <w:br/>
      </w:r>
      <w:r>
        <w:rPr>
          <w:b/>
        </w:rPr>
        <w:t>3. Risk Assessment</w:t>
      </w:r>
      <w:r>
        <w:br/>
        <w:t xml:space="preserve">   • Top Regulatory Risks</w:t>
        <w:br/>
        <w:t xml:space="preserve">   • Risk Ratings</w:t>
        <w:br/>
        <w:t xml:space="preserve">   • Mitigation Strategies</w:t>
        <w:br/>
        <w:br/>
      </w:r>
      <w:r>
        <w:rPr>
          <w:b/>
        </w:rPr>
        <w:t>4. Strategic Action Plan</w:t>
      </w:r>
      <w:r>
        <w:br/>
        <w:t xml:space="preserve">   • Immediate Actions (30 days)</w:t>
        <w:br/>
        <w:t xml:space="preserve">   • Short-term Actions (1-3 months)</w:t>
        <w:br/>
        <w:t xml:space="preserve">   • Medium-term Actions (3-6 months)</w:t>
        <w:br/>
        <w:t xml:space="preserve">   • Long-term Actions (6-12 months)</w:t>
        <w:br/>
        <w:br/>
      </w:r>
      <w:r>
        <w:rPr>
          <w:b/>
        </w:rPr>
        <w:t>5. Appendices</w:t>
      </w:r>
      <w:r>
        <w:br/>
        <w:t xml:space="preserve">   • Regulatory Statistics</w:t>
        <w:br/>
        <w:t xml:space="preserve">   • Methodology</w:t>
        <w:br/>
        <w:t xml:space="preserve">   • Glossary</w:t>
      </w:r>
    </w:p>
    <w:p>
      <w:r>
        <w:br w:type="page"/>
      </w:r>
    </w:p>
    <w:p>
      <w:pPr>
        <w:pStyle w:val="Heading1"/>
      </w:pPr>
      <w:r>
        <w:t>1. Executive Summary</w:t>
      </w:r>
    </w:p>
    <w:p>
      <w:pPr>
        <w:pStyle w:val="Heading2"/>
      </w:pPr>
      <w:r>
        <w:t>Key Findings</w:t>
      </w:r>
    </w:p>
    <w:tbl>
      <w:tblPr>
        <w:tblStyle w:val="TableGrid"/>
        <w:tblW w:type="auto" w:w="0"/>
        <w:tblLook w:firstColumn="1" w:firstRow="1" w:lastColumn="0" w:lastRow="0" w:noHBand="0" w:noVBand="1" w:val="04A0"/>
      </w:tblPr>
      <w:tblGrid>
        <w:gridCol w:w="4320"/>
        <w:gridCol w:w="4320"/>
      </w:tblGrid>
      <w:tr>
        <w:tc>
          <w:tcPr>
            <w:tcW w:type="dxa" w:w="4320"/>
          </w:tcPr>
          <w:p>
            <w:r>
              <w:t>Total Regulations</w:t>
            </w:r>
          </w:p>
        </w:tc>
        <w:tc>
          <w:tcPr>
            <w:tcW w:type="dxa" w:w="4320"/>
          </w:tcPr>
          <w:p>
            <w:r>
              <w:t>434</w:t>
            </w:r>
          </w:p>
        </w:tc>
      </w:tr>
      <w:tr>
        <w:tc>
          <w:tcPr>
            <w:tcW w:type="dxa" w:w="4320"/>
          </w:tcPr>
          <w:p>
            <w:r>
              <w:t>Applicable Regulations</w:t>
            </w:r>
          </w:p>
        </w:tc>
        <w:tc>
          <w:tcPr>
            <w:tcW w:type="dxa" w:w="4320"/>
          </w:tcPr>
          <w:p>
            <w:r>
              <w:t>203 (46.8%)</w:t>
            </w:r>
          </w:p>
        </w:tc>
      </w:tr>
      <w:tr>
        <w:tc>
          <w:tcPr>
            <w:tcW w:type="dxa" w:w="4320"/>
          </w:tcPr>
          <w:p>
            <w:r>
              <w:t>May Apply - Requires Review</w:t>
            </w:r>
          </w:p>
        </w:tc>
        <w:tc>
          <w:tcPr>
            <w:tcW w:type="dxa" w:w="4320"/>
          </w:tcPr>
          <w:p>
            <w:r>
              <w:t>41 (9.4%)</w:t>
            </w:r>
          </w:p>
        </w:tc>
      </w:tr>
      <w:tr>
        <w:tc>
          <w:tcPr>
            <w:tcW w:type="dxa" w:w="4320"/>
          </w:tcPr>
          <w:p>
            <w:r>
              <w:t>Non-Applicable Regulations</w:t>
            </w:r>
          </w:p>
        </w:tc>
        <w:tc>
          <w:tcPr>
            <w:tcW w:type="dxa" w:w="4320"/>
          </w:tcPr>
          <w:p>
            <w:r>
              <w:t>190 (43.8%)</w:t>
            </w:r>
          </w:p>
        </w:tc>
      </w:tr>
    </w:tbl>
    <w:p>
      <w:pPr>
        <w:pStyle w:val="Heading2"/>
      </w:pPr>
      <w:r>
        <w:t>Regulatory Landscape</w:t>
      </w:r>
    </w:p>
    <w:p>
      <w:r>
        <w:t>This report provides a strategic analysis of the Central Bank regulations (Section 17A and Section 48) applicable to AIB Life based on a comprehensive review of the company's annual report and regulatory documentation.</w:t>
      </w:r>
    </w:p>
    <w:p>
      <w:pPr>
        <w:pStyle w:val="Heading2"/>
      </w:pPr>
      <w:r>
        <w:t>Compliance Posture</w:t>
      </w:r>
    </w:p>
    <w:p>
      <w:r>
        <w:rPr>
          <w:b/>
        </w:rPr>
        <w:t xml:space="preserve">Overall Compliance Status: </w:t>
      </w:r>
      <w:r>
        <w:t>Moderate Regulatory Exposure</w:t>
      </w:r>
    </w:p>
    <w:p>
      <w:r>
        <w:br w:type="page"/>
      </w:r>
    </w:p>
    <w:p>
      <w:pPr>
        <w:pStyle w:val="Heading1"/>
      </w:pPr>
      <w:r>
        <w:t>2. Thematic Analysis</w:t>
      </w:r>
    </w:p>
    <w:p>
      <w:pPr>
        <w:pStyle w:val="Heading2"/>
      </w:pPr>
      <w:r>
        <w:t>Key Regulatory Themes</w:t>
      </w:r>
    </w:p>
    <w:p>
      <w:r>
        <w:t>Executive Summary:</w:t>
      </w:r>
    </w:p>
    <w:p>
      <w:r>
        <w:t>The regulatory landscape for this financial institution is extensive, with nearly half of the analyzed regulations being applicable. The regulations cover a wide range of areas, primarily focused on ensuring consumer protection, prudent governance, risk management, and financial stability. Compliance with these regulations is crucial for maintaining the institution's license to operate, preserving its reputation, and mitigating potential legal and financial risks. While the regulatory burden is significant, a structured approach to implementation, prioritizing high-risk areas, and fostering a culture of compliance can position the institution for long-term success.</w:t>
      </w:r>
    </w:p>
    <w:p>
      <w:r>
        <w:t>Thematic Areas:</w:t>
      </w:r>
    </w:p>
    <w:p>
      <w:r>
        <w:t>1. Consumer Protection:</w:t>
        <w:br/>
        <w:t xml:space="preserve">   Key Requirements: Treating customers fairly, providing clear and transparent information, protecting against financial abuse, and prioritizing customers' best interests.</w:t>
        <w:br/>
        <w:t xml:space="preserve">   Significant Risks: Misselling, inadequate disclosure, unfair treatment, and reputational damage.</w:t>
        <w:br/>
        <w:t xml:space="preserve">   Implementation Priorities: Robust customer due diligence, product governance, complaint handling, and employee training.</w:t>
      </w:r>
    </w:p>
    <w:p>
      <w:r>
        <w:t>2. Governance and Risk Management:</w:t>
        <w:br/>
        <w:t xml:space="preserve">   Key Requirements: Effective control and management of affairs, robust risk management frameworks, and adequate financial resources.</w:t>
        <w:br/>
        <w:t xml:space="preserve">   Significant Risks: Inadequate oversight, poor decision-making, and insufficient capital or liquidity.</w:t>
        <w:br/>
        <w:t xml:space="preserve">   Implementation Priorities: Strengthening governance structures, enhancing risk monitoring and reporting, and stress testing.</w:t>
      </w:r>
    </w:p>
    <w:p>
      <w:r>
        <w:t>3. Conduct and Ethics:</w:t>
        <w:br/>
        <w:t xml:space="preserve">   Key Requirements: Acting with honesty, integrity, due skill, care, and diligence in the best interests of customers.</w:t>
        <w:br/>
        <w:t xml:space="preserve">   Significant Risks: Misconduct, conflicts of interest, and regulatory sanctions.</w:t>
        <w:br/>
        <w:t xml:space="preserve">   Implementation Priorities: Establishing a strong ethical culture, implementing robust policies and procedures, and effective monitoring and reporting.</w:t>
      </w:r>
    </w:p>
    <w:p>
      <w:r>
        <w:t>4. Regulatory Reporting and Compliance:</w:t>
        <w:br/>
        <w:t xml:space="preserve">   Key Requirements: Timely and accurate reporting to regulators, adherence to regulatory standards, and maintaining adequate records.</w:t>
        <w:br/>
        <w:t xml:space="preserve">   Significant Risks: Incomplete or inaccurate reporting, regulatory breaches, and potential fines or penalties.</w:t>
        <w:br/>
        <w:t xml:space="preserve">   Implementation Priorities: Enhancing data management, streamlining reporting processes, and fostering a culture of compliance.</w:t>
      </w:r>
    </w:p>
    <w:p>
      <w:r>
        <w:t>5. Financial Stability and Solvency:</w:t>
        <w:br/>
        <w:t xml:space="preserve">   Key Requirements: Maintaining adequate financial resources, meeting solvency requirements, and ensuring long-term sustainability.</w:t>
        <w:br/>
        <w:t xml:space="preserve">   Significant Risks: Undercapitalization, liquidity shortfalls, and potential insolvency.</w:t>
        <w:br/>
        <w:t xml:space="preserve">   Implementation Priorities: Robust capital and liquidity planning, stress testing, and contingency planning.</w:t>
      </w:r>
    </w:p>
    <w:p>
      <w:r>
        <w:t>While the regulatory landscape is complex, a focused and proactive approach to compliance can help mitigate risks, enhance customer trust, and position the institution for long-term success in the financial services industry.</w:t>
      </w:r>
    </w:p>
    <w:p>
      <w:r>
        <w:br w:type="page"/>
      </w:r>
    </w:p>
    <w:p>
      <w:pPr>
        <w:pStyle w:val="Heading1"/>
      </w:pPr>
      <w:r>
        <w:t>3. Risk Assessment</w:t>
      </w:r>
    </w:p>
    <w:p>
      <w:pPr>
        <w:pStyle w:val="Heading2"/>
      </w:pPr>
      <w:r>
        <w:t>Top Regulatory Risks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Risk Area</w:t>
            </w:r>
          </w:p>
        </w:tc>
        <w:tc>
          <w:tcPr>
            <w:tcW w:type="dxa" w:w="2880"/>
          </w:tcPr>
          <w:p>
            <w:r>
              <w:rPr>
                <w:b/>
              </w:rPr>
              <w:t>Risk Rating</w:t>
            </w:r>
          </w:p>
        </w:tc>
        <w:tc>
          <w:tcPr>
            <w:tcW w:type="dxa" w:w="2880"/>
          </w:tcPr>
          <w:p>
            <w:r>
              <w:rPr>
                <w:b/>
              </w:rPr>
              <w:t>Key Mitigation Strategies</w:t>
            </w:r>
          </w:p>
        </w:tc>
      </w:tr>
    </w:tbl>
    <w:p>
      <w:r>
        <w:t>Based on the analysis of the regulations that apply to the financial institution, here is a high-level risk assessment of the regulatory compliance posture:</w:t>
        <w:br/>
        <w:br/>
        <w:t>Top 5 Regulatory Risk Areas:</w:t>
        <w:br/>
        <w:br/>
        <w:t>1. Consumer Protection and Fair Treatment (Regulations 5, 6, 8, 9)</w:t>
        <w:br/>
        <w:t xml:space="preserve">   - Risk Description: Failure to adequately protect consumer interests, treat customers fairly, and provide effective information can lead to regulatory sanctions, reputational damage, and legal liabilities.</w:t>
        <w:br/>
        <w:t xml:space="preserve">   - Risk Rating: High</w:t>
        <w:br/>
        <w:t xml:space="preserve">   - Mitigation Strategies: Implement robust consumer protection policies, conduct fair treatment assessments, enhance product disclosures, and establish comprehensive employee training programs.</w:t>
        <w:br/>
        <w:br/>
        <w:t>2. Governance and Risk Management (Regulations 7, 11)</w:t>
        <w:br/>
        <w:t xml:space="preserve">   - Risk Description: Inadequate governance structures, risk management frameworks, and oversight can result in operational failures, regulatory breaches, and financial losses.</w:t>
        <w:br/>
        <w:t xml:space="preserve">   - Risk Rating: High</w:t>
        <w:br/>
        <w:t xml:space="preserve">   - Mitigation Strategies: Strengthen corporate governance practices, implement risk-based controls, enhance board oversight, and regularly review risk management policies.</w:t>
        <w:br/>
        <w:br/>
        <w:t>3. Financial Stability and Capital Adequacy (Regulation 12)</w:t>
        <w:br/>
        <w:t xml:space="preserve">   - Risk Description: Insufficient financial resources or inadequate capital levels can impact the company's ability to meet its obligations and maintain solvency, leading to regulatory interventions and reputational damage.</w:t>
        <w:br/>
        <w:t xml:space="preserve">   - Risk Rating: High</w:t>
        <w:br/>
        <w:t xml:space="preserve">   - Mitigation Strategies: Implement robust capital planning processes, conduct stress testing, monitor capital adequacy ratios, and maintain contingency funding plans.</w:t>
        <w:br/>
        <w:br/>
        <w:t>4. Product Governance and Intermediary Management (Regulations 25, 26, 31, 33, 54, 57)</w:t>
        <w:br/>
        <w:t xml:space="preserve">   - Risk Description: Lack of effective oversight and management of product offerings, distribution channels, and intermediary relationships can lead to consumer detriment, regulatory breaches, and reputational risks.</w:t>
        <w:br/>
        <w:t xml:space="preserve">   - Risk Rating: Medium</w:t>
        <w:br/>
        <w:t xml:space="preserve">   - Mitigation Strategies: Establish robust product governance frameworks, implement intermediary oversight processes, ensure adequate disclosures, and conduct periodic reviews of product suitability and distribution practices.</w:t>
        <w:br/>
        <w:br/>
        <w:t>5. Debt Management and Credit Practices (Regulations 129, 136)</w:t>
        <w:br/>
        <w:t xml:space="preserve">   - Risk Description: Inadequate debt management practices, lack of transparency regarding credit terms, and improper handling of early redemption charges can result in consumer complaints, regulatory scrutiny, and potential legal actions.</w:t>
        <w:br/>
        <w:t xml:space="preserve">   - Risk Rating: Medium</w:t>
        <w:br/>
        <w:t xml:space="preserve">   - Mitigation Strategies: Implement fair debt management policies, enhance disclosures related to credit products and early redemption charges, and establish robust monitoring and oversight processes.</w:t>
        <w:br/>
        <w:br/>
        <w:t>It is crucial to note that the risk assessment is based on the available information and may require further review and analysis. Additionally, ongoing monitoring and periodic reassessment of the regulatory landscape and the company's compliance posture are essential to ensure effective risk management.</w:t>
      </w:r>
    </w:p>
    <w:p>
      <w:pPr>
        <w:pStyle w:val="Heading2"/>
      </w:pPr>
      <w:r>
        <w:t>Detailed Risk Analysis</w:t>
      </w:r>
    </w:p>
    <w:p>
      <w:r>
        <w:t>Based on the analysis of the regulations that apply to the financial institution, here is a high-level risk assessment of the regulatory compliance posture:</w:t>
        <w:br/>
        <w:br/>
        <w:t>Top 5 Regulatory Risk Areas:</w:t>
        <w:br/>
        <w:br/>
        <w:t>1. Consumer Protection and Fair Treatment (Regulations 5, 6, 8, 9)</w:t>
        <w:br/>
        <w:t xml:space="preserve">   - Risk Description: Failure to adequately protect consumer interests, treat customers fairly, and provide effective information can lead to regulatory sanctions, reputational damage, and legal liabilities.</w:t>
        <w:br/>
        <w:t xml:space="preserve">   - Risk Rating: High</w:t>
        <w:br/>
        <w:t xml:space="preserve">   - Mitigation Strategies: Implement robust consumer protection policies, conduct fair treatment assessments, enhance product disclosures, and establish comprehensive employee training programs.</w:t>
        <w:br/>
        <w:br/>
        <w:t>2. Governance and Risk Management (Regulations 7, 11)</w:t>
        <w:br/>
        <w:t xml:space="preserve">   - Risk Description: Inadequate governance structures, risk management frameworks, and oversight can result in operational failures, regulatory breaches, and financial losses.</w:t>
        <w:br/>
        <w:t xml:space="preserve">   - Risk Rating: High</w:t>
        <w:br/>
        <w:t xml:space="preserve">   - Mitigation Strategies: Strengthen corporate governance practices, implement risk-based controls, enhance board oversight, and regularly review risk management policies.</w:t>
        <w:br/>
        <w:br/>
        <w:t>3. Financial Stability and Capital Adequacy (Regulation 12)</w:t>
        <w:br/>
        <w:t xml:space="preserve">   - Risk Description: Insufficient financial resources or inadequate capital levels can impact the company's ability to meet its obligations and maintain solvency, leading to regulatory interventions and reputational damage.</w:t>
        <w:br/>
        <w:t xml:space="preserve">   - Risk Rating: High</w:t>
        <w:br/>
        <w:t xml:space="preserve">   - Mitigation Strategies: Implement robust capital planning processes, conduct stress testing, monitor capital adequacy ratios, and maintain contingency funding plans.</w:t>
        <w:br/>
        <w:br/>
        <w:t>4. Product Governance and Intermediary Management (Regulations 25, 26, 31, 33, 54, 57)</w:t>
        <w:br/>
        <w:t xml:space="preserve">   - Risk Description: Lack of effective oversight and management of product offerings, distribution channels, and intermediary relationships can lead to consumer detriment, regulatory breaches, and reputational risks.</w:t>
        <w:br/>
        <w:t xml:space="preserve">   - Risk Rating: Medium</w:t>
        <w:br/>
        <w:t xml:space="preserve">   - Mitigation Strategies: Establish robust product governance frameworks, implement intermediary oversight processes, ensure adequate disclosures, and conduct periodic reviews of product suitability and distribution practices.</w:t>
        <w:br/>
        <w:br/>
        <w:t>5. Debt Management and Credit Practices (Regulations 129, 136)</w:t>
        <w:br/>
        <w:t xml:space="preserve">   - Risk Description: Inadequate debt management practices, lack of transparency regarding credit terms, and improper handling of early redemption charges can result in consumer complaints, regulatory scrutiny, and potential legal actions.</w:t>
        <w:br/>
        <w:t xml:space="preserve">   - Risk Rating: Medium</w:t>
        <w:br/>
        <w:t xml:space="preserve">   - Mitigation Strategies: Implement fair debt management policies, enhance disclosures related to credit products and early redemption charges, and establish robust monitoring and oversight processes.</w:t>
        <w:br/>
        <w:br/>
        <w:t>It is crucial to note that the risk assessment is based on the available information and may require further review and analysis. Additionally, ongoing monitoring and periodic reassessment of the regulatory landscape and the company's compliance posture are essential to ensure effective risk management.</w:t>
      </w:r>
    </w:p>
    <w:p>
      <w:r>
        <w:br w:type="page"/>
      </w:r>
    </w:p>
    <w:p>
      <w:pPr>
        <w:pStyle w:val="Heading1"/>
      </w:pPr>
      <w:r>
        <w:t>4. Strategic Action Plan</w:t>
      </w:r>
    </w:p>
    <w:p>
      <w:pPr>
        <w:pStyle w:val="Heading2"/>
      </w:pPr>
      <w:r>
        <w:t>Implementation Timeline</w:t>
      </w:r>
    </w:p>
    <w:tbl>
      <w:tblPr>
        <w:tblStyle w:val="TableGrid"/>
        <w:tblW w:type="auto" w:w="0"/>
        <w:tblLook w:firstColumn="1" w:firstRow="1" w:lastColumn="0" w:lastRow="0" w:noHBand="0" w:noVBand="1" w:val="04A0"/>
      </w:tblPr>
      <w:tblGrid>
        <w:gridCol w:w="8640"/>
      </w:tblGrid>
      <w:tr>
        <w:tc>
          <w:tcPr>
            <w:tcW w:type="dxa" w:w="8640"/>
          </w:tcPr>
          <w:p>
            <w:r>
              <w:rPr>
                <w:b/>
              </w:rPr>
              <w:t>Immediate Actions (Next 30 Days)</w:t>
            </w:r>
          </w:p>
        </w:tc>
      </w:tr>
      <w:tr>
        <w:tc>
          <w:tcPr>
            <w:tcW w:type="dxa" w:w="8640"/>
          </w:tcPr>
          <w:p>
            <w:r>
              <w:rPr>
                <w:b/>
              </w:rPr>
              <w:t>Short-term Actions (1-3 Months)</w:t>
            </w:r>
          </w:p>
        </w:tc>
      </w:tr>
      <w:tr>
        <w:tc>
          <w:tcPr>
            <w:tcW w:type="dxa" w:w="8640"/>
          </w:tcPr>
          <w:p>
            <w:r>
              <w:rPr>
                <w:b/>
              </w:rPr>
              <w:t>Medium-term Actions (3-6 Months)</w:t>
            </w:r>
          </w:p>
        </w:tc>
      </w:tr>
      <w:tr>
        <w:tc>
          <w:tcPr>
            <w:tcW w:type="dxa" w:w="8640"/>
          </w:tcPr>
          <w:p>
            <w:r>
              <w:rPr>
                <w:b/>
              </w:rPr>
              <w:t>Long-term Actions (6-12 Months)</w:t>
            </w:r>
          </w:p>
        </w:tc>
      </w:tr>
      <w:tr>
        <w:tc>
          <w:tcPr>
            <w:tcW w:type="dxa" w:w="8640"/>
          </w:tcPr>
          <w:p>
            <w:r>
              <w:rPr>
                <w:b/>
              </w:rPr>
              <w:t>Ongoing Monitoring</w:t>
            </w:r>
          </w:p>
        </w:tc>
      </w:tr>
    </w:tbl>
    <w:p>
      <w:pPr>
        <w:pStyle w:val="Heading2"/>
      </w:pPr>
      <w:r>
        <w:t>Detailed Action Plan</w:t>
      </w:r>
    </w:p>
    <w:p>
      <w:r>
        <w:t>Strategic Action Plan for Regulatory Compliance</w:t>
        <w:br/>
        <w:br/>
        <w:t>Immediate Actions (Next 30 Days):</w:t>
        <w:br/>
        <w:t>1. Key Priorities:</w:t>
        <w:br/>
        <w:t xml:space="preserve">   - Establish a regulatory compliance team</w:t>
        <w:br/>
        <w:t xml:space="preserve">   - Conduct a comprehensive review of all applicable regulations</w:t>
        <w:br/>
        <w:t xml:space="preserve">   - Develop a communication plan to inform stakeholders</w:t>
        <w:br/>
        <w:br/>
        <w:t>2. Implementation Steps:</w:t>
        <w:br/>
        <w:t xml:space="preserve">   - Appoint a Chief Compliance Officer (CCO) and assemble a cross-functional compliance team</w:t>
        <w:br/>
        <w:t xml:space="preserve">   - Engage external legal counsel and compliance experts for guidance</w:t>
        <w:br/>
        <w:t xml:space="preserve">   - Identify and prioritize the regulations that require immediate attention (e.g., Regulations 3-12)</w:t>
        <w:br/>
        <w:t xml:space="preserve">   - Develop a communication plan to inform senior management, board members, and relevant stakeholders about the compliance initiative</w:t>
        <w:br/>
        <w:br/>
        <w:t>3. Key Stakeholders:</w:t>
        <w:br/>
        <w:t xml:space="preserve">   - Executive management</w:t>
        <w:br/>
        <w:t xml:space="preserve">   - Board of Directors</w:t>
        <w:br/>
        <w:t xml:space="preserve">   - Legal and Compliance teams</w:t>
        <w:br/>
        <w:t xml:space="preserve">   - Risk Management</w:t>
        <w:br/>
        <w:t xml:space="preserve">   - Customer Service</w:t>
        <w:br/>
        <w:t xml:space="preserve">   - Marketing and Communications</w:t>
        <w:br/>
        <w:br/>
        <w:t>4. Metrics:</w:t>
        <w:br/>
        <w:t xml:space="preserve">   - Compliance team established (Yes/No)</w:t>
        <w:br/>
        <w:t xml:space="preserve">   - Comprehensive regulation review completed (Yes/No)</w:t>
        <w:br/>
        <w:t xml:space="preserve">   - Communication plan developed and implemented (Yes/No)</w:t>
        <w:br/>
        <w:br/>
        <w:t>Short-term Actions (1-3 Months):</w:t>
        <w:br/>
        <w:t>1. Key Priorities:</w:t>
        <w:br/>
        <w:t xml:space="preserve">   - Conduct a gap analysis to identify areas of non-compliance</w:t>
        <w:br/>
        <w:t xml:space="preserve">   - Develop policies and procedures to address identified gaps</w:t>
        <w:br/>
        <w:t xml:space="preserve">   - Provide training and awareness programs for employees</w:t>
        <w:br/>
        <w:br/>
        <w:t>2. Implementation Steps:</w:t>
        <w:br/>
        <w:t xml:space="preserve">   - Map existing processes and controls against regulatory requirements</w:t>
        <w:br/>
        <w:t xml:space="preserve">   - Identify areas of non-compliance and prioritize remediation efforts</w:t>
        <w:br/>
        <w:t xml:space="preserve">   - Develop and implement new policies, procedures, and controls to address gaps</w:t>
        <w:br/>
        <w:t xml:space="preserve">   - Design and deliver training programs for employees on regulatory requirements and new processes</w:t>
        <w:br/>
        <w:br/>
        <w:t>3. Key Stakeholders:</w:t>
        <w:br/>
        <w:t xml:space="preserve">   - Compliance team</w:t>
        <w:br/>
        <w:t xml:space="preserve">   - Legal and Compliance teams</w:t>
        <w:br/>
        <w:t xml:space="preserve">   - Risk Management</w:t>
        <w:br/>
        <w:t xml:space="preserve">   - Human Resources</w:t>
        <w:br/>
        <w:t xml:space="preserve">   - Operations</w:t>
        <w:br/>
        <w:t xml:space="preserve">   - Customer Service</w:t>
        <w:br/>
        <w:br/>
        <w:t>4. Metrics:</w:t>
        <w:br/>
        <w:t xml:space="preserve">   - Gap analysis completed (Yes/No)</w:t>
        <w:br/>
        <w:t xml:space="preserve">   - Number of new policies and procedures developed</w:t>
        <w:br/>
        <w:t xml:space="preserve">   - Percentage of employees trained on new processes</w:t>
        <w:br/>
        <w:br/>
        <w:t>Medium-term Actions (3-6 Months):</w:t>
        <w:br/>
        <w:t>1. Key Priorities:</w:t>
        <w:br/>
        <w:t xml:space="preserve">   - Implement changes to product offerings and distribution channels</w:t>
        <w:br/>
        <w:t xml:space="preserve">   - Enhance customer communication and disclosure practices</w:t>
        <w:br/>
        <w:t xml:space="preserve">   - Establish ongoing monitoring and testing processes</w:t>
        <w:br/>
        <w:br/>
        <w:t>2. Implementation Steps:</w:t>
        <w:br/>
        <w:t xml:space="preserve">   - Review and modify product offerings and distribution channels to ensure compliance (e.g., Regulations 8, 12, 25, 26, 31, 33, 54, 57)</w:t>
        <w:br/>
        <w:t xml:space="preserve">   - Update customer communication materials, disclosure statements, and marketing collateral</w:t>
        <w:br/>
        <w:t xml:space="preserve">   - Implement regular monitoring and testing processes to assess compliance with regulations</w:t>
        <w:br/>
        <w:t xml:space="preserve">   - Establish a reporting mechanism for identified issues and non-compliance</w:t>
        <w:br/>
        <w:br/>
        <w:t>3. Key Stakeholders:</w:t>
        <w:br/>
        <w:t xml:space="preserve">   - Compliance team</w:t>
        <w:br/>
        <w:t xml:space="preserve">   - Product Management</w:t>
        <w:br/>
        <w:t xml:space="preserve">   - Marketing and Communications</w:t>
        <w:br/>
        <w:t xml:space="preserve">   - Distribution Channels</w:t>
        <w:br/>
        <w:t xml:space="preserve">   - Customer Service</w:t>
        <w:br/>
        <w:br/>
        <w:t>4. Metrics:</w:t>
        <w:br/>
        <w:t xml:space="preserve">   - Number of products/services modified for compliance</w:t>
        <w:br/>
        <w:t xml:space="preserve">   - Percentage of customer communications updated</w:t>
        <w:br/>
        <w:t xml:space="preserve">   - Monitoring and testing processes implemented (Yes/No)</w:t>
        <w:br/>
        <w:t xml:space="preserve">   - Number of compliance issues identified and addressed</w:t>
        <w:br/>
        <w:br/>
        <w:t>Long-term Actions (6-12 Months):</w:t>
        <w:br/>
        <w:t>1. Key Priorities:</w:t>
        <w:br/>
        <w:t xml:space="preserve">   - Integrate compliance into business processes and decision-making</w:t>
        <w:br/>
        <w:t xml:space="preserve">   - Establish a robust compliance culture</w:t>
        <w:br/>
        <w:t xml:space="preserve">   - Implement continuous improvement processes</w:t>
        <w:br/>
        <w:br/>
        <w:t>2. Implementation Steps:</w:t>
        <w:br/>
        <w:t xml:space="preserve">   - Embed compliance considerations into strategic planning and decision-making processes</w:t>
        <w:br/>
        <w:t xml:space="preserve">   - Develop and implement a compliance risk assessment framework</w:t>
        <w:br/>
        <w:t xml:space="preserve">   - Establish a compliance monitoring and reporting system for senior management and the board</w:t>
        <w:br/>
        <w:t xml:space="preserve">   - Implement a continuous improvement process to regularly review and enhance compliance practices</w:t>
        <w:br/>
        <w:br/>
        <w:t>3. Key Stakeholders:</w:t>
        <w:br/>
        <w:t xml:space="preserve">   - Compliance team</w:t>
        <w:br/>
        <w:t xml:space="preserve">   - Executive management</w:t>
        <w:br/>
        <w:t xml:space="preserve">   - Board of Directors</w:t>
        <w:br/>
        <w:t xml:space="preserve">   - Risk Management</w:t>
        <w:br/>
        <w:t xml:space="preserve">   - All business units</w:t>
        <w:br/>
        <w:br/>
        <w:t>4. Metrics:</w:t>
        <w:br/>
        <w:t xml:space="preserve">   - Compliance risk assessment framework implemented (Yes/No)</w:t>
        <w:br/>
        <w:t xml:space="preserve">   - Number of compliance monitoring reports provided to senior management and the board</w:t>
        <w:br/>
        <w:t xml:space="preserve">   - Percentage of business processes with integrated compliance controls</w:t>
        <w:br/>
        <w:t xml:space="preserve">   - Number of continuous improvement initiatives implemented</w:t>
        <w:br/>
        <w:br/>
        <w:t>By following this phased approach, Saol Assurance DAC can effectively address regulatory requirements, establish robust compliance processes, and embed a culture of compliance throughout the organization.</w:t>
      </w:r>
    </w:p>
    <w:p>
      <w:r>
        <w:br w:type="page"/>
      </w:r>
    </w:p>
    <w:p>
      <w:pPr>
        <w:pStyle w:val="Heading1"/>
      </w:pPr>
      <w:r>
        <w:t>5. Appendices</w:t>
      </w:r>
    </w:p>
    <w:p>
      <w:pPr>
        <w:pStyle w:val="Heading2"/>
      </w:pPr>
      <w:r>
        <w:t>Regulatory Statistics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Regulation Type</w:t>
            </w:r>
          </w:p>
        </w:tc>
        <w:tc>
          <w:tcPr>
            <w:tcW w:type="dxa" w:w="1728"/>
          </w:tcPr>
          <w:p>
            <w:r>
              <w:rPr>
                <w:b/>
              </w:rPr>
              <w:t>Total Count</w:t>
            </w:r>
          </w:p>
        </w:tc>
        <w:tc>
          <w:tcPr>
            <w:tcW w:type="dxa" w:w="1728"/>
          </w:tcPr>
          <w:p>
            <w:r>
              <w:rPr>
                <w:b/>
              </w:rPr>
              <w:t>Applies</w:t>
            </w:r>
          </w:p>
        </w:tc>
        <w:tc>
          <w:tcPr>
            <w:tcW w:type="dxa" w:w="1728"/>
          </w:tcPr>
          <w:p>
            <w:r>
              <w:rPr>
                <w:b/>
              </w:rPr>
              <w:t>May Apply</w:t>
            </w:r>
          </w:p>
        </w:tc>
        <w:tc>
          <w:tcPr>
            <w:tcW w:type="dxa" w:w="1728"/>
          </w:tcPr>
          <w:p>
            <w:r>
              <w:rPr>
                <w:b/>
              </w:rPr>
              <w:t>Does Not Apply</w:t>
            </w:r>
          </w:p>
        </w:tc>
      </w:tr>
      <w:tr>
        <w:tc>
          <w:tcPr>
            <w:tcW w:type="dxa" w:w="1728"/>
          </w:tcPr>
          <w:p>
            <w:r>
              <w:t>Section 17A</w:t>
            </w:r>
          </w:p>
        </w:tc>
        <w:tc>
          <w:tcPr>
            <w:tcW w:type="dxa" w:w="1728"/>
          </w:tcPr>
          <w:p>
            <w:r>
              <w:t>14</w:t>
            </w:r>
          </w:p>
        </w:tc>
        <w:tc>
          <w:tcPr>
            <w:tcW w:type="dxa" w:w="1728"/>
          </w:tcPr>
          <w:p>
            <w:r>
              <w:t>12 (85.7%)</w:t>
            </w:r>
          </w:p>
        </w:tc>
        <w:tc>
          <w:tcPr>
            <w:tcW w:type="dxa" w:w="1728"/>
          </w:tcPr>
          <w:p>
            <w:r>
              <w:t>0 (0.0%)</w:t>
            </w:r>
          </w:p>
        </w:tc>
        <w:tc>
          <w:tcPr>
            <w:tcW w:type="dxa" w:w="1728"/>
          </w:tcPr>
          <w:p>
            <w:r>
              <w:t>2 (14.3%)</w:t>
            </w:r>
          </w:p>
        </w:tc>
      </w:tr>
      <w:tr>
        <w:tc>
          <w:tcPr>
            <w:tcW w:type="dxa" w:w="1728"/>
          </w:tcPr>
          <w:p>
            <w:r>
              <w:t>Section 48</w:t>
            </w:r>
          </w:p>
        </w:tc>
        <w:tc>
          <w:tcPr>
            <w:tcW w:type="dxa" w:w="1728"/>
          </w:tcPr>
          <w:p>
            <w:r>
              <w:t>420</w:t>
            </w:r>
          </w:p>
        </w:tc>
        <w:tc>
          <w:tcPr>
            <w:tcW w:type="dxa" w:w="1728"/>
          </w:tcPr>
          <w:p>
            <w:r>
              <w:t>191 (45.5%)</w:t>
            </w:r>
          </w:p>
        </w:tc>
        <w:tc>
          <w:tcPr>
            <w:tcW w:type="dxa" w:w="1728"/>
          </w:tcPr>
          <w:p>
            <w:r>
              <w:t>41 (9.8%)</w:t>
            </w:r>
          </w:p>
        </w:tc>
        <w:tc>
          <w:tcPr>
            <w:tcW w:type="dxa" w:w="1728"/>
          </w:tcPr>
          <w:p>
            <w:r>
              <w:t>188 (44.8%)</w:t>
            </w:r>
          </w:p>
        </w:tc>
      </w:tr>
    </w:tbl>
    <w:p>
      <w:pPr>
        <w:pStyle w:val="Heading3"/>
      </w:pPr>
      <w:r>
        <w:t>Regulations by Part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Regulation Part</w:t>
            </w:r>
          </w:p>
        </w:tc>
        <w:tc>
          <w:tcPr>
            <w:tcW w:type="dxa" w:w="1728"/>
          </w:tcPr>
          <w:p>
            <w:r>
              <w:rPr>
                <w:b/>
              </w:rPr>
              <w:t>Total Count</w:t>
            </w:r>
          </w:p>
        </w:tc>
        <w:tc>
          <w:tcPr>
            <w:tcW w:type="dxa" w:w="1728"/>
          </w:tcPr>
          <w:p>
            <w:r>
              <w:rPr>
                <w:b/>
              </w:rPr>
              <w:t>Applies</w:t>
            </w:r>
          </w:p>
        </w:tc>
        <w:tc>
          <w:tcPr>
            <w:tcW w:type="dxa" w:w="1728"/>
          </w:tcPr>
          <w:p>
            <w:r>
              <w:rPr>
                <w:b/>
              </w:rPr>
              <w:t>May Apply</w:t>
            </w:r>
          </w:p>
        </w:tc>
        <w:tc>
          <w:tcPr>
            <w:tcW w:type="dxa" w:w="1728"/>
          </w:tcPr>
          <w:p>
            <w:r>
              <w:rPr>
                <w:b/>
              </w:rPr>
              <w:t>Does Not Apply</w:t>
            </w:r>
          </w:p>
        </w:tc>
      </w:tr>
      <w:tr>
        <w:tc>
          <w:tcPr>
            <w:tcW w:type="dxa" w:w="1728"/>
          </w:tcPr>
          <w:p>
            <w:r>
              <w:t>17A - Part 1: PRELIMINARY AND GENERAL</w:t>
            </w:r>
          </w:p>
        </w:tc>
        <w:tc>
          <w:tcPr>
            <w:tcW w:type="dxa" w:w="1728"/>
          </w:tcPr>
          <w:p>
            <w:r>
              <w:t>3</w:t>
            </w:r>
          </w:p>
        </w:tc>
        <w:tc>
          <w:tcPr>
            <w:tcW w:type="dxa" w:w="1728"/>
          </w:tcPr>
          <w:p>
            <w:r>
              <w:t>1 (33.3%)</w:t>
            </w:r>
          </w:p>
        </w:tc>
        <w:tc>
          <w:tcPr>
            <w:tcW w:type="dxa" w:w="1728"/>
          </w:tcPr>
          <w:p>
            <w:r>
              <w:t>0 (0.0%)</w:t>
            </w:r>
          </w:p>
        </w:tc>
        <w:tc>
          <w:tcPr>
            <w:tcW w:type="dxa" w:w="1728"/>
          </w:tcPr>
          <w:p>
            <w:r>
              <w:t>2 (66.7%)</w:t>
            </w:r>
          </w:p>
        </w:tc>
      </w:tr>
      <w:tr>
        <w:tc>
          <w:tcPr>
            <w:tcW w:type="dxa" w:w="1728"/>
          </w:tcPr>
          <w:p>
            <w:r>
              <w:t>17A - Part 2: STANDARDS FOR BUSINESS</w:t>
            </w:r>
          </w:p>
        </w:tc>
        <w:tc>
          <w:tcPr>
            <w:tcW w:type="dxa" w:w="1728"/>
          </w:tcPr>
          <w:p>
            <w:r>
              <w:t>1</w:t>
            </w:r>
          </w:p>
        </w:tc>
        <w:tc>
          <w:tcPr>
            <w:tcW w:type="dxa" w:w="1728"/>
          </w:tcPr>
          <w:p>
            <w:r>
              <w:t>1 (100.0%)</w:t>
            </w:r>
          </w:p>
        </w:tc>
        <w:tc>
          <w:tcPr>
            <w:tcW w:type="dxa" w:w="1728"/>
          </w:tcPr>
          <w:p>
            <w:r>
              <w:t>0 (0.0%)</w:t>
            </w:r>
          </w:p>
        </w:tc>
        <w:tc>
          <w:tcPr>
            <w:tcW w:type="dxa" w:w="1728"/>
          </w:tcPr>
          <w:p>
            <w:r>
              <w:t>0 (0.0%)</w:t>
            </w:r>
          </w:p>
        </w:tc>
      </w:tr>
      <w:tr>
        <w:tc>
          <w:tcPr>
            <w:tcW w:type="dxa" w:w="1728"/>
          </w:tcPr>
          <w:p>
            <w:r>
              <w:t>17A - Part 3: SUPPORTING STANDARDS FOR BUSINESS</w:t>
            </w:r>
          </w:p>
        </w:tc>
        <w:tc>
          <w:tcPr>
            <w:tcW w:type="dxa" w:w="1728"/>
          </w:tcPr>
          <w:p>
            <w:r>
              <w:t>10</w:t>
            </w:r>
          </w:p>
        </w:tc>
        <w:tc>
          <w:tcPr>
            <w:tcW w:type="dxa" w:w="1728"/>
          </w:tcPr>
          <w:p>
            <w:r>
              <w:t>10 (100.0%)</w:t>
            </w:r>
          </w:p>
        </w:tc>
        <w:tc>
          <w:tcPr>
            <w:tcW w:type="dxa" w:w="1728"/>
          </w:tcPr>
          <w:p>
            <w:r>
              <w:t>0 (0.0%)</w:t>
            </w:r>
          </w:p>
        </w:tc>
        <w:tc>
          <w:tcPr>
            <w:tcW w:type="dxa" w:w="1728"/>
          </w:tcPr>
          <w:p>
            <w:r>
              <w:t>0 (0.0%)</w:t>
            </w:r>
          </w:p>
        </w:tc>
      </w:tr>
      <w:tr>
        <w:tc>
          <w:tcPr>
            <w:tcW w:type="dxa" w:w="1728"/>
          </w:tcPr>
          <w:p>
            <w:r>
              <w:t>48 - Part 1: PRELIMINARY AND GENERAL</w:t>
            </w:r>
          </w:p>
        </w:tc>
        <w:tc>
          <w:tcPr>
            <w:tcW w:type="dxa" w:w="1728"/>
          </w:tcPr>
          <w:p>
            <w:r>
              <w:t>15</w:t>
            </w:r>
          </w:p>
        </w:tc>
        <w:tc>
          <w:tcPr>
            <w:tcW w:type="dxa" w:w="1728"/>
          </w:tcPr>
          <w:p>
            <w:r>
              <w:t>4 (26.7%)</w:t>
            </w:r>
          </w:p>
        </w:tc>
        <w:tc>
          <w:tcPr>
            <w:tcW w:type="dxa" w:w="1728"/>
          </w:tcPr>
          <w:p>
            <w:r>
              <w:t>2 (13.3%)</w:t>
            </w:r>
          </w:p>
        </w:tc>
        <w:tc>
          <w:tcPr>
            <w:tcW w:type="dxa" w:w="1728"/>
          </w:tcPr>
          <w:p>
            <w:r>
              <w:t>9 (60.0%)</w:t>
            </w:r>
          </w:p>
        </w:tc>
      </w:tr>
      <w:tr>
        <w:tc>
          <w:tcPr>
            <w:tcW w:type="dxa" w:w="1728"/>
          </w:tcPr>
          <w:p>
            <w:r>
              <w:t>48 - Part 2: GENERAL CONSUMER PROTECTION REQUIREMENTS</w:t>
            </w:r>
          </w:p>
        </w:tc>
        <w:tc>
          <w:tcPr>
            <w:tcW w:type="dxa" w:w="1728"/>
          </w:tcPr>
          <w:p>
            <w:r>
              <w:t>114</w:t>
            </w:r>
          </w:p>
        </w:tc>
        <w:tc>
          <w:tcPr>
            <w:tcW w:type="dxa" w:w="1728"/>
          </w:tcPr>
          <w:p>
            <w:r>
              <w:t>101 (88.6%)</w:t>
            </w:r>
          </w:p>
        </w:tc>
        <w:tc>
          <w:tcPr>
            <w:tcW w:type="dxa" w:w="1728"/>
          </w:tcPr>
          <w:p>
            <w:r>
              <w:t>7 (6.1%)</w:t>
            </w:r>
          </w:p>
        </w:tc>
        <w:tc>
          <w:tcPr>
            <w:tcW w:type="dxa" w:w="1728"/>
          </w:tcPr>
          <w:p>
            <w:r>
              <w:t>6 (5.3%)</w:t>
            </w:r>
          </w:p>
        </w:tc>
      </w:tr>
      <w:tr>
        <w:tc>
          <w:tcPr>
            <w:tcW w:type="dxa" w:w="1728"/>
          </w:tcPr>
          <w:p>
            <w:r>
              <w:t>48 - Part 3: CONSUMER BANKING, CREDIT, ARREARS, AND CERTAIN OTHER</w:t>
            </w:r>
          </w:p>
        </w:tc>
        <w:tc>
          <w:tcPr>
            <w:tcW w:type="dxa" w:w="1728"/>
          </w:tcPr>
          <w:p>
            <w:r>
              <w:t>177</w:t>
            </w:r>
          </w:p>
        </w:tc>
        <w:tc>
          <w:tcPr>
            <w:tcW w:type="dxa" w:w="1728"/>
          </w:tcPr>
          <w:p>
            <w:r>
              <w:t>13 (7.3%)</w:t>
            </w:r>
          </w:p>
        </w:tc>
        <w:tc>
          <w:tcPr>
            <w:tcW w:type="dxa" w:w="1728"/>
          </w:tcPr>
          <w:p>
            <w:r>
              <w:t>16 (9.0%)</w:t>
            </w:r>
          </w:p>
        </w:tc>
        <w:tc>
          <w:tcPr>
            <w:tcW w:type="dxa" w:w="1728"/>
          </w:tcPr>
          <w:p>
            <w:r>
              <w:t>148 (83.6%)</w:t>
            </w:r>
          </w:p>
        </w:tc>
      </w:tr>
      <w:tr>
        <w:tc>
          <w:tcPr>
            <w:tcW w:type="dxa" w:w="1728"/>
          </w:tcPr>
          <w:p>
            <w:r>
              <w:t>48 - Part 4: INSURANCE</w:t>
            </w:r>
          </w:p>
        </w:tc>
        <w:tc>
          <w:tcPr>
            <w:tcW w:type="dxa" w:w="1728"/>
          </w:tcPr>
          <w:p>
            <w:r>
              <w:t>62</w:t>
            </w:r>
          </w:p>
        </w:tc>
        <w:tc>
          <w:tcPr>
            <w:tcW w:type="dxa" w:w="1728"/>
          </w:tcPr>
          <w:p>
            <w:r>
              <w:t>41 (66.1%)</w:t>
            </w:r>
          </w:p>
        </w:tc>
        <w:tc>
          <w:tcPr>
            <w:tcW w:type="dxa" w:w="1728"/>
          </w:tcPr>
          <w:p>
            <w:r>
              <w:t>5 (8.1%)</w:t>
            </w:r>
          </w:p>
        </w:tc>
        <w:tc>
          <w:tcPr>
            <w:tcW w:type="dxa" w:w="1728"/>
          </w:tcPr>
          <w:p>
            <w:r>
              <w:t>16 (25.8%)</w:t>
            </w:r>
          </w:p>
        </w:tc>
      </w:tr>
      <w:tr>
        <w:tc>
          <w:tcPr>
            <w:tcW w:type="dxa" w:w="1728"/>
          </w:tcPr>
          <w:p>
            <w:r>
              <w:t>48 - Part 5: INVESTMENTS</w:t>
            </w:r>
          </w:p>
        </w:tc>
        <w:tc>
          <w:tcPr>
            <w:tcW w:type="dxa" w:w="1728"/>
          </w:tcPr>
          <w:p>
            <w:r>
              <w:t>49</w:t>
            </w:r>
          </w:p>
        </w:tc>
        <w:tc>
          <w:tcPr>
            <w:tcW w:type="dxa" w:w="1728"/>
          </w:tcPr>
          <w:p>
            <w:r>
              <w:t>30 (61.2%)</w:t>
            </w:r>
          </w:p>
        </w:tc>
        <w:tc>
          <w:tcPr>
            <w:tcW w:type="dxa" w:w="1728"/>
          </w:tcPr>
          <w:p>
            <w:r>
              <w:t>11 (22.4%)</w:t>
            </w:r>
          </w:p>
        </w:tc>
        <w:tc>
          <w:tcPr>
            <w:tcW w:type="dxa" w:w="1728"/>
          </w:tcPr>
          <w:p>
            <w:r>
              <w:t>8 (16.3%)</w:t>
            </w:r>
          </w:p>
        </w:tc>
      </w:tr>
      <w:tr>
        <w:tc>
          <w:tcPr>
            <w:tcW w:type="dxa" w:w="1728"/>
          </w:tcPr>
          <w:p>
            <w:r>
              <w:t>48 - Part 6: FINAL PROVISIONS AND REVOCATIONS</w:t>
            </w:r>
          </w:p>
        </w:tc>
        <w:tc>
          <w:tcPr>
            <w:tcW w:type="dxa" w:w="1728"/>
          </w:tcPr>
          <w:p>
            <w:r>
              <w:t>3</w:t>
            </w:r>
          </w:p>
        </w:tc>
        <w:tc>
          <w:tcPr>
            <w:tcW w:type="dxa" w:w="1728"/>
          </w:tcPr>
          <w:p>
            <w:r>
              <w:t>2 (66.7%)</w:t>
            </w:r>
          </w:p>
        </w:tc>
        <w:tc>
          <w:tcPr>
            <w:tcW w:type="dxa" w:w="1728"/>
          </w:tcPr>
          <w:p>
            <w:r>
              <w:t>0 (0.0%)</w:t>
            </w:r>
          </w:p>
        </w:tc>
        <w:tc>
          <w:tcPr>
            <w:tcW w:type="dxa" w:w="1728"/>
          </w:tcPr>
          <w:p>
            <w:r>
              <w:t>1 (33.3%)</w:t>
            </w:r>
          </w:p>
        </w:tc>
      </w:tr>
    </w:tbl>
    <w:p>
      <w:pPr>
        <w:pStyle w:val="Heading2"/>
      </w:pPr>
      <w:r>
        <w:t>Methodology</w:t>
      </w:r>
    </w:p>
    <w:p>
      <w:r>
        <w:rPr>
          <w:b/>
        </w:rPr>
        <w:t xml:space="preserve">Analysis Approach: </w:t>
      </w:r>
      <w:r>
        <w:t>This analysis was conducted using Claude 3.7 Sonnet, an advanced AI system, to evaluate the applicability of Central Bank regulations to AIB Life based on the company's annual report.</w:t>
      </w:r>
    </w:p>
    <w:p>
      <w:r>
        <w:rPr>
          <w:b/>
        </w:rPr>
        <w:t xml:space="preserve">Data Sources: </w:t>
      </w:r>
      <w:r>
        <w:t>The analysis is based on the following sources:</w:t>
      </w:r>
    </w:p>
    <w:p>
      <w:pPr>
        <w:pStyle w:val="ListBullet"/>
      </w:pPr>
      <w:r>
        <w:t>Central Bank Reform Act 2010 (Section 17A) regulations</w:t>
      </w:r>
    </w:p>
    <w:p>
      <w:pPr>
        <w:pStyle w:val="ListBullet"/>
      </w:pPr>
      <w:r>
        <w:t>Central Bank (Supervision and Enforcement) Act 2013 (Section 48) regulations</w:t>
      </w:r>
    </w:p>
    <w:p>
      <w:pPr>
        <w:pStyle w:val="ListBullet"/>
      </w:pPr>
      <w:r>
        <w:t>AIB Life Annual Report</w:t>
      </w:r>
    </w:p>
    <w:p>
      <w:pPr>
        <w:pStyle w:val="Heading2"/>
      </w:pPr>
      <w:r>
        <w:t>Glossary</w:t>
      </w:r>
    </w:p>
    <w:tbl>
      <w:tblPr>
        <w:tblStyle w:val="TableGrid"/>
        <w:tblW w:type="auto" w:w="0"/>
        <w:tblLook w:firstColumn="1" w:firstRow="1" w:lastColumn="0" w:lastRow="0" w:noHBand="0" w:noVBand="1" w:val="04A0"/>
      </w:tblPr>
      <w:tblGrid>
        <w:gridCol w:w="4320"/>
        <w:gridCol w:w="4320"/>
      </w:tblGrid>
      <w:tr>
        <w:tc>
          <w:tcPr>
            <w:tcW w:type="dxa" w:w="4320"/>
          </w:tcPr>
          <w:p>
            <w:r>
              <w:rPr>
                <w:b/>
              </w:rPr>
              <w:t>Term</w:t>
            </w:r>
          </w:p>
        </w:tc>
        <w:tc>
          <w:tcPr>
            <w:tcW w:type="dxa" w:w="4320"/>
          </w:tcPr>
          <w:p>
            <w:r>
              <w:rPr>
                <w:b/>
              </w:rPr>
              <w:t>Definition</w:t>
            </w:r>
          </w:p>
        </w:tc>
      </w:tr>
      <w:tr>
        <w:tc>
          <w:tcPr>
            <w:tcW w:type="dxa" w:w="4320"/>
          </w:tcPr>
          <w:p>
            <w:r>
              <w:rPr>
                <w:b/>
              </w:rPr>
              <w:t>Applies</w:t>
            </w:r>
          </w:p>
        </w:tc>
        <w:tc>
          <w:tcPr>
            <w:tcW w:type="dxa" w:w="4320"/>
          </w:tcPr>
          <w:p>
            <w:r>
              <w:t>Regulation directly applies to the company based on its activities and structure.</w:t>
            </w:r>
          </w:p>
        </w:tc>
      </w:tr>
      <w:tr>
        <w:tc>
          <w:tcPr>
            <w:tcW w:type="dxa" w:w="4320"/>
          </w:tcPr>
          <w:p>
            <w:r>
              <w:rPr>
                <w:b/>
              </w:rPr>
              <w:t>May Apply</w:t>
            </w:r>
          </w:p>
        </w:tc>
        <w:tc>
          <w:tcPr>
            <w:tcW w:type="dxa" w:w="4320"/>
          </w:tcPr>
          <w:p>
            <w:r>
              <w:t>Regulation potentially applies but requires further review to determine applicability.</w:t>
            </w:r>
          </w:p>
        </w:tc>
      </w:tr>
      <w:tr>
        <w:tc>
          <w:tcPr>
            <w:tcW w:type="dxa" w:w="4320"/>
          </w:tcPr>
          <w:p>
            <w:r>
              <w:rPr>
                <w:b/>
              </w:rPr>
              <w:t>Does Not Apply</w:t>
            </w:r>
          </w:p>
        </w:tc>
        <w:tc>
          <w:tcPr>
            <w:tcW w:type="dxa" w:w="4320"/>
          </w:tcPr>
          <w:p>
            <w:r>
              <w:t>Regulation does not apply to the company based on its activities and structure.</w:t>
            </w:r>
          </w:p>
        </w:tc>
      </w:tr>
      <w:tr>
        <w:tc>
          <w:tcPr>
            <w:tcW w:type="dxa" w:w="4320"/>
          </w:tcPr>
          <w:p>
            <w:r>
              <w:rPr>
                <w:b/>
              </w:rPr>
              <w:t>Section 17A</w:t>
            </w:r>
          </w:p>
        </w:tc>
        <w:tc>
          <w:tcPr>
            <w:tcW w:type="dxa" w:w="4320"/>
          </w:tcPr>
          <w:p>
            <w:r>
              <w:t>Regulations under Central Bank Reform Act 2010 (Section 17A).</w:t>
            </w:r>
          </w:p>
        </w:tc>
      </w:tr>
      <w:tr>
        <w:tc>
          <w:tcPr>
            <w:tcW w:type="dxa" w:w="4320"/>
          </w:tcPr>
          <w:p>
            <w:r>
              <w:rPr>
                <w:b/>
              </w:rPr>
              <w:t>Section 48</w:t>
            </w:r>
          </w:p>
        </w:tc>
        <w:tc>
          <w:tcPr>
            <w:tcW w:type="dxa" w:w="4320"/>
          </w:tcPr>
          <w:p>
            <w:r>
              <w:t>Regulations under Central Bank (Supervision and Enforcement) Act 2013 (Section 48).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