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after="120"/>
        <w:jc w:val="left"/>
      </w:pPr>
      <w:r>
        <w:rPr>
          <w:rFonts w:ascii="Plus Jakarta Sans" w:hAnsi="Plus Jakarta Sans"/>
          <w:b/>
          <w:color w:val="3A7D2A"/>
          <w:sz w:val="92"/>
        </w:rPr>
        <w:t>O2CURE®</w:t>
      </w:r>
    </w:p>
    <w:p>
      <w:pPr>
        <w:spacing w:after="720"/>
      </w:pPr>
      <w:r>
        <w:rPr>
          <w:rFonts w:ascii="Plus Jakarta Sans" w:hAnsi="Plus Jakarta Sans"/>
          <w:color w:val="1A4A7A"/>
          <w:sz w:val="40"/>
        </w:rPr>
        <w:t>Comprehensive Master Brand Book &amp; Design Manual</w:t>
      </w:r>
    </w:p>
    <w:p>
      <w:pPr>
        <w:spacing w:before="4000"/>
      </w:pPr>
      <w:r>
        <w:rPr>
          <w:rFonts w:ascii="Plus Jakarta Sans" w:hAnsi="Plus Jakarta Sans"/>
          <w:color w:val="6B7280"/>
          <w:sz w:val="22"/>
        </w:rPr>
        <w:t>Version 1.1 Update (July 2026)</w:t>
        <w:br/>
        <w:t>Exclusive Primary Digital Typeface &amp; Cinematic Color System</w:t>
        <w:br/>
        <w:t>Confidential · For Internal &amp; Approved Agency Use Only</w:t>
      </w:r>
    </w:p>
    <w:p>
      <w:r>
        <w:br w:type="page"/>
      </w:r>
    </w:p>
    <w:p>
      <w:pPr>
        <w:keepNext/>
        <w:spacing w:before="480" w:after="240"/>
      </w:pPr>
      <w:r>
        <w:rPr>
          <w:rFonts w:ascii="Plus Jakarta Sans" w:hAnsi="Plus Jakarta Sans"/>
          <w:b/>
          <w:color w:val="1A4A7A"/>
          <w:sz w:val="44"/>
        </w:rPr>
        <w:t>01 — BRAND IDENTITY &amp; POSITIONING</w:t>
      </w:r>
    </w:p>
    <w:p>
      <w:pPr>
        <w:spacing w:after="160" w:line="300" w:lineRule="auto"/>
      </w:pPr>
      <w:r>
        <w:rPr>
          <w:rFonts w:ascii="Plus Jakarta Sans" w:hAnsi="Plus Jakarta Sans"/>
          <w:b w:val="0"/>
          <w:i w:val="0"/>
          <w:color w:val="1C1C1C"/>
          <w:sz w:val="22"/>
        </w:rPr>
        <w:t>O2Cure is a premium, science-backed health-protection engineering company based in Gurugram, India. We design, manufacture, and deploy medical-grade air safety and purification instruments engineered to create cleaner, highly controlled indoor environments.</w:t>
      </w:r>
    </w:p>
    <w:tbl>
      <w:tblPr>
        <w:tblW w:type="auto" w:w="0"/>
        <w:jc w:val="center"/>
        <w:tblLook w:firstColumn="1" w:firstRow="1" w:lastColumn="0" w:lastRow="0" w:noHBand="0" w:noVBand="1" w:val="04A0"/>
      </w:tblPr>
      <w:tblGrid>
        <w:gridCol w:w="9360"/>
      </w:tblGrid>
      <w:tr>
        <w:tc>
          <w:tcPr>
            <w:tcW w:type="dxa" w:w="9360"/>
            <w:shd w:fill="F5F5F4"/>
            <w:tcMar>
              <w:top w:w="140" w:type="dxa"/>
              <w:bottom w:w="140" w:type="dxa"/>
              <w:left w:w="200" w:type="dxa"/>
              <w:right w:w="200" w:type="dxa"/>
            </w:tcMar>
            <w:tcBorders>
              <w:top w:val="none"/>
              <w:left w:val="single" w:sz="24" w:space="0" w:color="3A7D2A"/>
              <w:bottom w:val="none"/>
              <w:right w:val="none"/>
            </w:tcBorders>
          </w:tcPr>
          <w:p>
            <w:pPr>
              <w:spacing w:after="0" w:line="288" w:lineRule="auto"/>
            </w:pPr>
            <w:r>
              <w:rPr>
                <w:rFonts w:ascii="Plus Jakarta Sans" w:hAnsi="Plus Jakarta Sans"/>
                <w:i/>
                <w:color w:val="1C1C1C"/>
                <w:sz w:val="21"/>
              </w:rPr>
              <w:t>Strategic Core Mandate:</w:t>
              <w:br/>
              <w:t>O2Cure is explicitly NOT a consumer lifestyle or home-appliance brand. We completely reject superficial marketing hype, emotional scare tactics, or generic health buzzwords. We let rigorous laboratory diagnostics, NABL-accredited test reports, and pristine industrial engineering deliver the closing arguments.</w:t>
            </w:r>
          </w:p>
        </w:tc>
      </w:tr>
    </w:tbl>
    <w:p>
      <w:pPr>
        <w:spacing w:after="120"/>
      </w:pPr>
    </w:p>
    <w:p>
      <w:pPr>
        <w:keepNext/>
        <w:spacing w:before="320" w:after="120"/>
      </w:pPr>
      <w:r>
        <w:rPr>
          <w:rFonts w:ascii="Plus Jakarta Sans" w:hAnsi="Plus Jakarta Sans"/>
          <w:b/>
          <w:color w:val="2B6CB0"/>
          <w:sz w:val="30"/>
        </w:rPr>
        <w:t>The Four Core Pillars</w:t>
      </w:r>
    </w:p>
    <w:tbl>
      <w:tblPr>
        <w:tblW w:type="auto" w:w="0"/>
        <w:jc w:val="center"/>
        <w:tblLook w:firstColumn="1" w:firstRow="1" w:lastColumn="0" w:lastRow="0" w:noHBand="0" w:noVBand="1" w:val="04A0"/>
      </w:tblPr>
      <w:tblGrid>
        <w:gridCol w:w="4680"/>
        <w:gridCol w:w="4680"/>
      </w:tblGrid>
      <w:tr>
        <w:tc>
          <w:tcPr>
            <w:tcW w:type="dxa" w:w="4680"/>
            <w:shd w:fill="F5F5F4"/>
            <w:tcMar>
              <w:top w:w="80" w:type="dxa"/>
              <w:bottom w:w="80" w:type="dxa"/>
              <w:left w:w="120" w:type="dxa"/>
              <w:right w:w="120" w:type="dxa"/>
            </w:tcMar>
          </w:tcPr>
          <w:p>
            <w:r>
              <w:rPr>
                <w:rFonts w:ascii="Plus Jakarta Sans" w:hAnsi="Plus Jakarta Sans"/>
                <w:b/>
                <w:color w:val="1A4A7A"/>
              </w:rPr>
              <w:t>Science-First</w:t>
            </w:r>
          </w:p>
        </w:tc>
        <w:tc>
          <w:tcPr>
            <w:tcW w:type="dxa" w:w="4680"/>
            <w:tcMar>
              <w:top w:w="80" w:type="dxa"/>
              <w:bottom w:w="80" w:type="dxa"/>
              <w:left w:w="120" w:type="dxa"/>
              <w:right w:w="120" w:type="dxa"/>
            </w:tcMar>
          </w:tcPr>
          <w:p>
            <w:r>
              <w:rPr>
                <w:rFonts w:ascii="Plus Jakarta Sans" w:hAnsi="Plus Jakarta Sans"/>
                <w:color w:val="1C1C1C"/>
              </w:rPr>
              <w:t>Every engineering claim is verified through strict lab testing. We communicate raw data, metric thresholds, and physical performance indexes rather than assumptions.</w:t>
            </w:r>
          </w:p>
        </w:tc>
      </w:tr>
      <w:tr>
        <w:tc>
          <w:tcPr>
            <w:tcW w:type="dxa" w:w="4680"/>
            <w:shd w:fill="F5F5F4"/>
            <w:tcMar>
              <w:top w:w="80" w:type="dxa"/>
              <w:bottom w:w="80" w:type="dxa"/>
              <w:left w:w="120" w:type="dxa"/>
              <w:right w:w="120" w:type="dxa"/>
            </w:tcMar>
          </w:tcPr>
          <w:p>
            <w:r>
              <w:rPr>
                <w:rFonts w:ascii="Plus Jakarta Sans" w:hAnsi="Plus Jakarta Sans"/>
                <w:b/>
                <w:color w:val="1A4A7A"/>
              </w:rPr>
              <w:t>Trusted Authority</w:t>
            </w:r>
          </w:p>
        </w:tc>
        <w:tc>
          <w:tcPr>
            <w:tcW w:type="dxa" w:w="4680"/>
            <w:tcMar>
              <w:top w:w="80" w:type="dxa"/>
              <w:bottom w:w="80" w:type="dxa"/>
              <w:left w:w="120" w:type="dxa"/>
              <w:right w:w="120" w:type="dxa"/>
            </w:tcMar>
          </w:tcPr>
          <w:p>
            <w:r>
              <w:rPr>
                <w:rFonts w:ascii="Plus Jakarta Sans" w:hAnsi="Plus Jakarta Sans"/>
                <w:color w:val="1C1C1C"/>
              </w:rPr>
              <w:t>Deployed across 700+ enterprise spaces, corporate headquarters, top-tier clinical hospitals, and national infrastructure projects including Amazon, Google, and premium medical networks.</w:t>
            </w:r>
          </w:p>
        </w:tc>
      </w:tr>
      <w:tr>
        <w:tc>
          <w:tcPr>
            <w:tcW w:type="dxa" w:w="4680"/>
            <w:shd w:fill="F5F5F4"/>
            <w:tcMar>
              <w:top w:w="80" w:type="dxa"/>
              <w:bottom w:w="80" w:type="dxa"/>
              <w:left w:w="120" w:type="dxa"/>
              <w:right w:w="120" w:type="dxa"/>
            </w:tcMar>
          </w:tcPr>
          <w:p>
            <w:r>
              <w:rPr>
                <w:rFonts w:ascii="Plus Jakarta Sans" w:hAnsi="Plus Jakarta Sans"/>
                <w:b/>
                <w:color w:val="1A4A7A"/>
              </w:rPr>
              <w:t>Clean Architecture</w:t>
            </w:r>
          </w:p>
        </w:tc>
        <w:tc>
          <w:tcPr>
            <w:tcW w:type="dxa" w:w="4680"/>
            <w:tcMar>
              <w:top w:w="80" w:type="dxa"/>
              <w:bottom w:w="80" w:type="dxa"/>
              <w:left w:w="120" w:type="dxa"/>
              <w:right w:w="120" w:type="dxa"/>
            </w:tcMar>
          </w:tcPr>
          <w:p>
            <w:r>
              <w:rPr>
                <w:rFonts w:ascii="Plus Jakarta Sans" w:hAnsi="Plus Jakarta Sans"/>
                <w:color w:val="1C1C1C"/>
              </w:rPr>
              <w:t>Pure protection requires pure design. All interfaces, assets, and messaging reflect a clinical, ultra-premium, minimalist ethos with zero decorative clutter.</w:t>
            </w:r>
          </w:p>
        </w:tc>
      </w:tr>
      <w:tr>
        <w:tc>
          <w:tcPr>
            <w:tcW w:type="dxa" w:w="4680"/>
            <w:shd w:fill="F5F5F4"/>
            <w:tcMar>
              <w:top w:w="80" w:type="dxa"/>
              <w:bottom w:w="80" w:type="dxa"/>
              <w:left w:w="120" w:type="dxa"/>
              <w:right w:w="120" w:type="dxa"/>
            </w:tcMar>
          </w:tcPr>
          <w:p>
            <w:r>
              <w:rPr>
                <w:rFonts w:ascii="Plus Jakarta Sans" w:hAnsi="Plus Jakarta Sans"/>
                <w:b/>
                <w:color w:val="1A4A7A"/>
              </w:rPr>
              <w:t>Accessible Scale</w:t>
            </w:r>
          </w:p>
        </w:tc>
        <w:tc>
          <w:tcPr>
            <w:tcW w:type="dxa" w:w="4680"/>
            <w:tcMar>
              <w:top w:w="80" w:type="dxa"/>
              <w:bottom w:w="80" w:type="dxa"/>
              <w:left w:w="120" w:type="dxa"/>
              <w:right w:w="120" w:type="dxa"/>
            </w:tcMar>
          </w:tcPr>
          <w:p>
            <w:r>
              <w:rPr>
                <w:rFonts w:ascii="Plus Jakarta Sans" w:hAnsi="Plus Jakarta Sans"/>
                <w:color w:val="1C1C1C"/>
              </w:rPr>
              <w:t>Seamless engineering execution spanning from compact nano-filtration technology options to industrial, complex building-level Air Handling Unit (AHU) systems.</w:t>
            </w:r>
          </w:p>
        </w:tc>
      </w:tr>
    </w:tbl>
    <w:p>
      <w:pPr>
        <w:spacing w:after="240"/>
      </w:pPr>
    </w:p>
    <w:p>
      <w:pPr>
        <w:keepNext/>
        <w:spacing w:before="480" w:after="240"/>
      </w:pPr>
      <w:r>
        <w:rPr>
          <w:rFonts w:ascii="Plus Jakarta Sans" w:hAnsi="Plus Jakarta Sans"/>
          <w:b/>
          <w:color w:val="1A4A7A"/>
          <w:sz w:val="44"/>
        </w:rPr>
        <w:t>02 — THE CORE DIFFERENTIATOR: TRICURE™ TECHNOLOGY</w:t>
      </w:r>
    </w:p>
    <w:p>
      <w:pPr>
        <w:spacing w:after="160" w:line="300" w:lineRule="auto"/>
      </w:pPr>
      <w:r>
        <w:rPr>
          <w:rFonts w:ascii="Plus Jakarta Sans" w:hAnsi="Plus Jakarta Sans"/>
          <w:b w:val="0"/>
          <w:i w:val="0"/>
          <w:color w:val="1C1C1C"/>
          <w:sz w:val="22"/>
        </w:rPr>
        <w:t>Every digital, mechanical, or brand touchpoint must position TriCure™ Technology as the definitive hallmark of O2Cure's proprietary engineering. TriCure™ represents the complete physical neutralization of the three critical vectors of indoor environmental degradation simultaneously:</w:t>
      </w:r>
    </w:p>
    <w:p>
      <w:pPr>
        <w:spacing w:after="160" w:line="300" w:lineRule="auto"/>
      </w:pPr>
      <w:r>
        <w:rPr>
          <w:rFonts w:ascii="Plus Jakarta Sans" w:hAnsi="Plus Jakarta Sans"/>
          <w:b w:val="0"/>
          <w:i w:val="0"/>
          <w:color w:val="1C1C1C"/>
          <w:sz w:val="22"/>
        </w:rPr>
        <w:t>1. PM Particulates: Physical trapping and elimination of fine airborne suspension layers including PM2.5, PM10, atmospheric soot, dynamic industrial dust matrices, and organic pollens.</w:t>
      </w:r>
    </w:p>
    <w:p>
      <w:pPr>
        <w:spacing w:after="160" w:line="300" w:lineRule="auto"/>
      </w:pPr>
      <w:r>
        <w:rPr>
          <w:rFonts w:ascii="Plus Jakarta Sans" w:hAnsi="Plus Jakarta Sans"/>
          <w:b w:val="0"/>
          <w:i w:val="0"/>
          <w:color w:val="1C1C1C"/>
          <w:sz w:val="22"/>
        </w:rPr>
        <w:t>2. Microbial Contaminants: Immediate proactive neutralization of microscopic life threats—specifically destructive airborne bacteria, active viral strains, toxic molds, and fungal spores.</w:t>
      </w:r>
    </w:p>
    <w:p>
      <w:pPr>
        <w:spacing w:after="160" w:line="300" w:lineRule="auto"/>
      </w:pPr>
      <w:r>
        <w:rPr>
          <w:rFonts w:ascii="Plus Jakarta Sans" w:hAnsi="Plus Jakarta Sans"/>
          <w:b w:val="0"/>
          <w:i w:val="0"/>
          <w:color w:val="1C1C1C"/>
          <w:sz w:val="22"/>
        </w:rPr>
        <w:t>3. Gases &amp; Chemical Pollutants: Comprehensive molecular filtering of Volatile Organic Compounds (VOCs), toxic sulfur chains, hazardous smoke concentrations, and complex chemical odors.</w:t>
      </w:r>
    </w:p>
    <w:p>
      <w:pPr>
        <w:keepNext/>
        <w:spacing w:before="480" w:after="240"/>
      </w:pPr>
      <w:r>
        <w:rPr>
          <w:rFonts w:ascii="Plus Jakarta Sans" w:hAnsi="Plus Jakarta Sans"/>
          <w:b/>
          <w:color w:val="1A4A7A"/>
          <w:sz w:val="44"/>
        </w:rPr>
        <w:t>03 — REVISED DIGITAL COLOR SYSTEM</w:t>
      </w:r>
    </w:p>
    <w:p>
      <w:pPr>
        <w:spacing w:after="160" w:line="300" w:lineRule="auto"/>
      </w:pPr>
      <w:r>
        <w:rPr>
          <w:rFonts w:ascii="Plus Jakarta Sans" w:hAnsi="Plus Jakarta Sans"/>
          <w:b w:val="0"/>
          <w:i w:val="0"/>
          <w:color w:val="1C1C1C"/>
          <w:sz w:val="22"/>
        </w:rPr>
        <w:t>To command an aesthetic footprint equal to global luxury leaders like Apple, Dyson, and Tesla, the brand color ecosystem has completely evolved away from standard flat web layouts. All layouts must strictly enforce a Cinematic High-Contrast Architecture. Flat, bright, or highly saturated background blocks are universally prohibited.</w:t>
      </w:r>
    </w:p>
    <w:p>
      <w:pPr>
        <w:keepNext/>
        <w:spacing w:before="320" w:after="120"/>
      </w:pPr>
      <w:r>
        <w:rPr>
          <w:rFonts w:ascii="Plus Jakarta Sans" w:hAnsi="Plus Jakarta Sans"/>
          <w:b/>
          <w:color w:val="2B6CB0"/>
          <w:sz w:val="30"/>
        </w:rPr>
        <w:t>The Core System Palette</w:t>
      </w:r>
    </w:p>
    <w:tbl>
      <w:tblPr>
        <w:tblW w:type="auto" w:w="0"/>
        <w:jc w:val="center"/>
        <w:tblLook w:firstColumn="1" w:firstRow="1" w:lastColumn="0" w:lastRow="0" w:noHBand="0" w:noVBand="1" w:val="04A0"/>
      </w:tblPr>
      <w:tblGrid>
        <w:gridCol w:w="3120"/>
        <w:gridCol w:w="3120"/>
        <w:gridCol w:w="3120"/>
      </w:tblGrid>
      <w:tr>
        <w:tc>
          <w:tcPr>
            <w:tcW w:type="dxa" w:w="3120"/>
            <w:shd w:fill="2B6CB0"/>
            <w:tcMar>
              <w:top w:w="80" w:type="dxa"/>
              <w:bottom w:w="80" w:type="dxa"/>
              <w:left w:w="120" w:type="dxa"/>
              <w:right w:w="120" w:type="dxa"/>
            </w:tcMar>
          </w:tcPr>
          <w:p>
            <w:r>
              <w:rPr>
                <w:rFonts w:ascii="Plus Jakarta Sans" w:hAnsi="Plus Jakarta Sans"/>
                <w:b/>
                <w:color w:val="FFFFFF"/>
              </w:rPr>
              <w:t>O2 Blue</w:t>
            </w:r>
          </w:p>
        </w:tc>
        <w:tc>
          <w:tcPr>
            <w:tcW w:type="dxa" w:w="3120"/>
            <w:tcMar>
              <w:top w:w="80" w:type="dxa"/>
              <w:bottom w:w="80" w:type="dxa"/>
              <w:left w:w="120" w:type="dxa"/>
              <w:right w:w="120" w:type="dxa"/>
            </w:tcMar>
          </w:tcPr>
          <w:p>
            <w:r>
              <w:rPr>
                <w:rFonts w:ascii="Courier New" w:hAnsi="Courier New"/>
                <w:color w:val="1C1C1C"/>
              </w:rPr>
              <w:t>#2B6CB0</w:t>
            </w:r>
          </w:p>
        </w:tc>
        <w:tc>
          <w:tcPr>
            <w:tcW w:type="dxa" w:w="3120"/>
            <w:tcMar>
              <w:top w:w="80" w:type="dxa"/>
              <w:bottom w:w="80" w:type="dxa"/>
              <w:left w:w="120" w:type="dxa"/>
              <w:right w:w="120" w:type="dxa"/>
            </w:tcMar>
          </w:tcPr>
          <w:p>
            <w:r>
              <w:rPr>
                <w:rFonts w:ascii="Plus Jakarta Sans" w:hAnsi="Plus Jakarta Sans"/>
                <w:color w:val="1C1C1C"/>
              </w:rPr>
              <w:t>Primary architectural token for core layout links, primary structural header icons, and brand anchor points.</w:t>
            </w:r>
          </w:p>
        </w:tc>
      </w:tr>
      <w:tr>
        <w:tc>
          <w:tcPr>
            <w:tcW w:type="dxa" w:w="3120"/>
            <w:shd w:fill="1A4A7A"/>
            <w:tcMar>
              <w:top w:w="80" w:type="dxa"/>
              <w:bottom w:w="80" w:type="dxa"/>
              <w:left w:w="120" w:type="dxa"/>
              <w:right w:w="120" w:type="dxa"/>
            </w:tcMar>
          </w:tcPr>
          <w:p>
            <w:r>
              <w:rPr>
                <w:rFonts w:ascii="Plus Jakarta Sans" w:hAnsi="Plus Jakarta Sans"/>
                <w:b/>
                <w:color w:val="FFFFFF"/>
              </w:rPr>
              <w:t>Deep Blue</w:t>
            </w:r>
          </w:p>
        </w:tc>
        <w:tc>
          <w:tcPr>
            <w:tcW w:type="dxa" w:w="3120"/>
            <w:tcMar>
              <w:top w:w="80" w:type="dxa"/>
              <w:bottom w:w="80" w:type="dxa"/>
              <w:left w:w="120" w:type="dxa"/>
              <w:right w:w="120" w:type="dxa"/>
            </w:tcMar>
          </w:tcPr>
          <w:p>
            <w:r>
              <w:rPr>
                <w:rFonts w:ascii="Courier New" w:hAnsi="Courier New"/>
                <w:color w:val="1C1C1C"/>
              </w:rPr>
              <w:t>#1A4A7A</w:t>
            </w:r>
          </w:p>
        </w:tc>
        <w:tc>
          <w:tcPr>
            <w:tcW w:type="dxa" w:w="3120"/>
            <w:tcMar>
              <w:top w:w="80" w:type="dxa"/>
              <w:bottom w:w="80" w:type="dxa"/>
              <w:left w:w="120" w:type="dxa"/>
              <w:right w:w="120" w:type="dxa"/>
            </w:tcMar>
          </w:tcPr>
          <w:p>
            <w:r>
              <w:rPr>
                <w:rFonts w:ascii="Plus Jakarta Sans" w:hAnsi="Plus Jakarta Sans"/>
                <w:color w:val="1C1C1C"/>
              </w:rPr>
              <w:t>High-contrast text weightings, primary page sub-section fields, and premium editorial headers.</w:t>
            </w:r>
          </w:p>
        </w:tc>
      </w:tr>
      <w:tr>
        <w:tc>
          <w:tcPr>
            <w:tcW w:type="dxa" w:w="3120"/>
            <w:shd w:fill="3A7D2A"/>
            <w:tcMar>
              <w:top w:w="80" w:type="dxa"/>
              <w:bottom w:w="80" w:type="dxa"/>
              <w:left w:w="120" w:type="dxa"/>
              <w:right w:w="120" w:type="dxa"/>
            </w:tcMar>
          </w:tcPr>
          <w:p>
            <w:r>
              <w:rPr>
                <w:rFonts w:ascii="Plus Jakarta Sans" w:hAnsi="Plus Jakarta Sans"/>
                <w:b/>
                <w:color w:val="FFFFFF"/>
              </w:rPr>
              <w:t>O2 Green</w:t>
            </w:r>
          </w:p>
        </w:tc>
        <w:tc>
          <w:tcPr>
            <w:tcW w:type="dxa" w:w="3120"/>
            <w:tcMar>
              <w:top w:w="80" w:type="dxa"/>
              <w:bottom w:w="80" w:type="dxa"/>
              <w:left w:w="120" w:type="dxa"/>
              <w:right w:w="120" w:type="dxa"/>
            </w:tcMar>
          </w:tcPr>
          <w:p>
            <w:r>
              <w:rPr>
                <w:rFonts w:ascii="Courier New" w:hAnsi="Courier New"/>
                <w:color w:val="1C1C1C"/>
              </w:rPr>
              <w:t>#3A7D2A</w:t>
            </w:r>
          </w:p>
        </w:tc>
        <w:tc>
          <w:tcPr>
            <w:tcW w:type="dxa" w:w="3120"/>
            <w:tcMar>
              <w:top w:w="80" w:type="dxa"/>
              <w:bottom w:w="80" w:type="dxa"/>
              <w:left w:w="120" w:type="dxa"/>
              <w:right w:w="120" w:type="dxa"/>
            </w:tcMar>
          </w:tcPr>
          <w:p>
            <w:r>
              <w:rPr>
                <w:rFonts w:ascii="Plus Jakarta Sans" w:hAnsi="Plus Jakarta Sans"/>
                <w:color w:val="1C1C1C"/>
              </w:rPr>
              <w:t>The definitive brand accent token. Reserved exclusively for the official logo, single core CTAs, and numerical performance benchmarks.</w:t>
            </w:r>
          </w:p>
        </w:tc>
      </w:tr>
      <w:tr>
        <w:tc>
          <w:tcPr>
            <w:tcW w:type="dxa" w:w="3120"/>
            <w:shd w:fill="2A5C1D"/>
            <w:tcMar>
              <w:top w:w="80" w:type="dxa"/>
              <w:bottom w:w="80" w:type="dxa"/>
              <w:left w:w="120" w:type="dxa"/>
              <w:right w:w="120" w:type="dxa"/>
            </w:tcMar>
          </w:tcPr>
          <w:p>
            <w:r>
              <w:rPr>
                <w:rFonts w:ascii="Plus Jakarta Sans" w:hAnsi="Plus Jakarta Sans"/>
                <w:b/>
                <w:color w:val="FFFFFF"/>
              </w:rPr>
              <w:t>Forest Green</w:t>
            </w:r>
          </w:p>
        </w:tc>
        <w:tc>
          <w:tcPr>
            <w:tcW w:type="dxa" w:w="3120"/>
            <w:tcMar>
              <w:top w:w="80" w:type="dxa"/>
              <w:bottom w:w="80" w:type="dxa"/>
              <w:left w:w="120" w:type="dxa"/>
              <w:right w:w="120" w:type="dxa"/>
            </w:tcMar>
          </w:tcPr>
          <w:p>
            <w:r>
              <w:rPr>
                <w:rFonts w:ascii="Courier New" w:hAnsi="Courier New"/>
                <w:color w:val="1C1C1C"/>
              </w:rPr>
              <w:t>#2A5C1D</w:t>
            </w:r>
          </w:p>
        </w:tc>
        <w:tc>
          <w:tcPr>
            <w:tcW w:type="dxa" w:w="3120"/>
            <w:tcMar>
              <w:top w:w="80" w:type="dxa"/>
              <w:bottom w:w="80" w:type="dxa"/>
              <w:left w:w="120" w:type="dxa"/>
              <w:right w:w="120" w:type="dxa"/>
            </w:tcMar>
          </w:tcPr>
          <w:p>
            <w:r>
              <w:rPr>
                <w:rFonts w:ascii="Plus Jakarta Sans" w:hAnsi="Plus Jakarta Sans"/>
                <w:color w:val="1C1C1C"/>
              </w:rPr>
              <w:t>Dedicated exclusively to mouse hover states over active primary green CTAs.</w:t>
            </w:r>
          </w:p>
        </w:tc>
      </w:tr>
      <w:tr>
        <w:tc>
          <w:tcPr>
            <w:tcW w:type="dxa" w:w="3120"/>
            <w:shd w:fill="1C1C1C"/>
            <w:tcMar>
              <w:top w:w="80" w:type="dxa"/>
              <w:bottom w:w="80" w:type="dxa"/>
              <w:left w:w="120" w:type="dxa"/>
              <w:right w:w="120" w:type="dxa"/>
            </w:tcMar>
          </w:tcPr>
          <w:p>
            <w:r>
              <w:rPr>
                <w:rFonts w:ascii="Plus Jakarta Sans" w:hAnsi="Plus Jakarta Sans"/>
                <w:b/>
                <w:color w:val="FFFFFF"/>
              </w:rPr>
              <w:t>Charcoal</w:t>
            </w:r>
          </w:p>
        </w:tc>
        <w:tc>
          <w:tcPr>
            <w:tcW w:type="dxa" w:w="3120"/>
            <w:tcMar>
              <w:top w:w="80" w:type="dxa"/>
              <w:bottom w:w="80" w:type="dxa"/>
              <w:left w:w="120" w:type="dxa"/>
              <w:right w:w="120" w:type="dxa"/>
            </w:tcMar>
          </w:tcPr>
          <w:p>
            <w:r>
              <w:rPr>
                <w:rFonts w:ascii="Courier New" w:hAnsi="Courier New"/>
                <w:color w:val="1C1C1C"/>
              </w:rPr>
              <w:t>#1C1C1C</w:t>
            </w:r>
          </w:p>
        </w:tc>
        <w:tc>
          <w:tcPr>
            <w:tcW w:type="dxa" w:w="3120"/>
            <w:tcMar>
              <w:top w:w="80" w:type="dxa"/>
              <w:bottom w:w="80" w:type="dxa"/>
              <w:left w:w="120" w:type="dxa"/>
              <w:right w:w="120" w:type="dxa"/>
            </w:tcMar>
          </w:tcPr>
          <w:p>
            <w:r>
              <w:rPr>
                <w:rFonts w:ascii="Plus Jakarta Sans" w:hAnsi="Plus Jakarta Sans"/>
                <w:color w:val="1C1C1C"/>
              </w:rPr>
              <w:t>Primary baseline text color designed for absolute readability on off-white or light canvases.</w:t>
            </w:r>
          </w:p>
        </w:tc>
      </w:tr>
      <w:tr>
        <w:tc>
          <w:tcPr>
            <w:tcW w:type="dxa" w:w="3120"/>
            <w:shd w:fill="6B7280"/>
            <w:tcMar>
              <w:top w:w="80" w:type="dxa"/>
              <w:bottom w:w="80" w:type="dxa"/>
              <w:left w:w="120" w:type="dxa"/>
              <w:right w:w="120" w:type="dxa"/>
            </w:tcMar>
          </w:tcPr>
          <w:p>
            <w:r>
              <w:rPr>
                <w:rFonts w:ascii="Plus Jakarta Sans" w:hAnsi="Plus Jakarta Sans"/>
                <w:b/>
                <w:color w:val="1C1C1C"/>
              </w:rPr>
              <w:t>Stone Gray</w:t>
            </w:r>
          </w:p>
        </w:tc>
        <w:tc>
          <w:tcPr>
            <w:tcW w:type="dxa" w:w="3120"/>
            <w:tcMar>
              <w:top w:w="80" w:type="dxa"/>
              <w:bottom w:w="80" w:type="dxa"/>
              <w:left w:w="120" w:type="dxa"/>
              <w:right w:w="120" w:type="dxa"/>
            </w:tcMar>
          </w:tcPr>
          <w:p>
            <w:r>
              <w:rPr>
                <w:rFonts w:ascii="Courier New" w:hAnsi="Courier New"/>
                <w:color w:val="1C1C1C"/>
              </w:rPr>
              <w:t>#6B7280</w:t>
            </w:r>
          </w:p>
        </w:tc>
        <w:tc>
          <w:tcPr>
            <w:tcW w:type="dxa" w:w="3120"/>
            <w:tcMar>
              <w:top w:w="80" w:type="dxa"/>
              <w:bottom w:w="80" w:type="dxa"/>
              <w:left w:w="120" w:type="dxa"/>
              <w:right w:w="120" w:type="dxa"/>
            </w:tcMar>
          </w:tcPr>
          <w:p>
            <w:r>
              <w:rPr>
                <w:rFonts w:ascii="Plus Jakarta Sans" w:hAnsi="Plus Jakarta Sans"/>
                <w:color w:val="1C1C1C"/>
              </w:rPr>
              <w:t>Secondary technical descriptors, contextual metadata strings, and microscopic annotations.</w:t>
            </w:r>
          </w:p>
        </w:tc>
      </w:tr>
      <w:tr>
        <w:tc>
          <w:tcPr>
            <w:tcW w:type="dxa" w:w="3120"/>
            <w:shd w:fill="F5F5F4"/>
            <w:tcMar>
              <w:top w:w="80" w:type="dxa"/>
              <w:bottom w:w="80" w:type="dxa"/>
              <w:left w:w="120" w:type="dxa"/>
              <w:right w:w="120" w:type="dxa"/>
            </w:tcMar>
          </w:tcPr>
          <w:p>
            <w:r>
              <w:rPr>
                <w:rFonts w:ascii="Plus Jakarta Sans" w:hAnsi="Plus Jakarta Sans"/>
                <w:b/>
                <w:color w:val="1C1C1C"/>
              </w:rPr>
              <w:t>Off-White</w:t>
            </w:r>
          </w:p>
        </w:tc>
        <w:tc>
          <w:tcPr>
            <w:tcW w:type="dxa" w:w="3120"/>
            <w:tcMar>
              <w:top w:w="80" w:type="dxa"/>
              <w:bottom w:w="80" w:type="dxa"/>
              <w:left w:w="120" w:type="dxa"/>
              <w:right w:w="120" w:type="dxa"/>
            </w:tcMar>
          </w:tcPr>
          <w:p>
            <w:r>
              <w:rPr>
                <w:rFonts w:ascii="Courier New" w:hAnsi="Courier New"/>
                <w:color w:val="1C1C1C"/>
              </w:rPr>
              <w:t>#F5F5F4</w:t>
            </w:r>
          </w:p>
        </w:tc>
        <w:tc>
          <w:tcPr>
            <w:tcW w:type="dxa" w:w="3120"/>
            <w:tcMar>
              <w:top w:w="80" w:type="dxa"/>
              <w:bottom w:w="80" w:type="dxa"/>
              <w:left w:w="120" w:type="dxa"/>
              <w:right w:w="120" w:type="dxa"/>
            </w:tcMar>
          </w:tcPr>
          <w:p>
            <w:r>
              <w:rPr>
                <w:rFonts w:ascii="Plus Jakarta Sans" w:hAnsi="Plus Jakarta Sans"/>
                <w:color w:val="1C1C1C"/>
              </w:rPr>
              <w:t>The master canvas page background providing immaculate breathing room and visual luxury.</w:t>
            </w:r>
          </w:p>
        </w:tc>
      </w:tr>
      <w:tr>
        <w:tc>
          <w:tcPr>
            <w:tcW w:type="dxa" w:w="3120"/>
            <w:shd w:fill="0A0F14"/>
            <w:tcMar>
              <w:top w:w="80" w:type="dxa"/>
              <w:bottom w:w="80" w:type="dxa"/>
              <w:left w:w="120" w:type="dxa"/>
              <w:right w:w="120" w:type="dxa"/>
            </w:tcMar>
          </w:tcPr>
          <w:p>
            <w:r>
              <w:rPr>
                <w:rFonts w:ascii="Plus Jakarta Sans" w:hAnsi="Plus Jakarta Sans"/>
                <w:b/>
                <w:color w:val="FFFFFF"/>
              </w:rPr>
              <w:t>Premium Dark Canvas</w:t>
            </w:r>
          </w:p>
        </w:tc>
        <w:tc>
          <w:tcPr>
            <w:tcW w:type="dxa" w:w="3120"/>
            <w:tcMar>
              <w:top w:w="80" w:type="dxa"/>
              <w:bottom w:w="80" w:type="dxa"/>
              <w:left w:w="120" w:type="dxa"/>
              <w:right w:w="120" w:type="dxa"/>
            </w:tcMar>
          </w:tcPr>
          <w:p>
            <w:r>
              <w:rPr>
                <w:rFonts w:ascii="Courier New" w:hAnsi="Courier New"/>
                <w:color w:val="1C1C1C"/>
              </w:rPr>
              <w:t>#0A0F14</w:t>
            </w:r>
          </w:p>
        </w:tc>
        <w:tc>
          <w:tcPr>
            <w:tcW w:type="dxa" w:w="3120"/>
            <w:tcMar>
              <w:top w:w="80" w:type="dxa"/>
              <w:bottom w:w="80" w:type="dxa"/>
              <w:left w:w="120" w:type="dxa"/>
              <w:right w:w="120" w:type="dxa"/>
            </w:tcMar>
          </w:tcPr>
          <w:p>
            <w:r>
              <w:rPr>
                <w:rFonts w:ascii="Plus Jakarta Sans" w:hAnsi="Plus Jakarta Sans"/>
                <w:color w:val="1C1C1C"/>
              </w:rPr>
              <w:t>Deep cinematic canvas layers utilized strictly for advanced technical states, such as the polluted side of 'The Breath Divide' or B2B enterprise zones.</w:t>
            </w:r>
          </w:p>
        </w:tc>
      </w:tr>
    </w:tbl>
    <w:p>
      <w:pPr>
        <w:keepNext/>
        <w:spacing w:before="320" w:after="120"/>
      </w:pPr>
      <w:r>
        <w:rPr>
          <w:rFonts w:ascii="Plus Jakarta Sans" w:hAnsi="Plus Jakarta Sans"/>
          <w:b/>
          <w:color w:val="2B6CB0"/>
          <w:sz w:val="30"/>
        </w:rPr>
        <w:t>Critical Color Application Laws</w:t>
      </w:r>
    </w:p>
    <w:p>
      <w:pPr>
        <w:spacing w:after="160" w:line="300" w:lineRule="auto"/>
      </w:pPr>
      <w:r>
        <w:rPr>
          <w:rFonts w:ascii="Plus Jakarta Sans" w:hAnsi="Plus Jakarta Sans"/>
          <w:b w:val="0"/>
          <w:i w:val="0"/>
          <w:color w:val="1C1C1C"/>
          <w:sz w:val="22"/>
        </w:rPr>
        <w:t>• The Single CTA Rule: Under no circumstance shall more than one solid green (#3A7D2A) button occupy a single viewport view. Multiple competing primary shapes break the user journey and cheapen the layout architecture.</w:t>
      </w:r>
    </w:p>
    <w:p>
      <w:pPr>
        <w:spacing w:after="160" w:line="300" w:lineRule="auto"/>
      </w:pPr>
      <w:r>
        <w:rPr>
          <w:rFonts w:ascii="Plus Jakarta Sans" w:hAnsi="Plus Jakarta Sans"/>
          <w:b w:val="0"/>
          <w:i w:val="0"/>
          <w:color w:val="1C1C1C"/>
          <w:sz w:val="22"/>
        </w:rPr>
        <w:t>• Monochrome Third-Party Branding: To suppress chaotic visual noise, all client, healthcare, and enterprise enterprise partner logos must be rendered in a completely neutral, low-opacity monochrome state (CSS filter: grayscale(1) opacity(0.5)). The full native corporate coloration is allowed to surface only during a precise, intentional user hover event.</w:t>
      </w:r>
    </w:p>
    <w:p>
      <w:pPr>
        <w:spacing w:after="160" w:line="300" w:lineRule="auto"/>
      </w:pPr>
      <w:r>
        <w:rPr>
          <w:rFonts w:ascii="Plus Jakarta Sans" w:hAnsi="Plus Jakarta Sans"/>
          <w:b w:val="0"/>
          <w:i w:val="0"/>
          <w:color w:val="1C1C1C"/>
          <w:sz w:val="22"/>
        </w:rPr>
        <w:t>• Volumetric Vibrancy Mandate: Rather than turning flat background cards into loud color blocks to inject excitement, canvas zones must remain clinical and clean. Vibrancy must be introduced purely through dynamic active light vectors (e.g., pulsing environmental AQI light fields or fluid, animated vector tracks).</w:t>
      </w:r>
    </w:p>
    <w:p>
      <w:r>
        <w:br w:type="page"/>
      </w:r>
    </w:p>
    <w:p>
      <w:pPr>
        <w:keepNext/>
        <w:spacing w:before="480" w:after="240"/>
      </w:pPr>
      <w:r>
        <w:rPr>
          <w:rFonts w:ascii="Plus Jakarta Sans" w:hAnsi="Plus Jakarta Sans"/>
          <w:b/>
          <w:color w:val="1A4A7A"/>
          <w:sz w:val="44"/>
        </w:rPr>
        <w:t>04 — REVISED DIGITAL TYPOGRAPHY SYSTEM</w:t>
      </w:r>
    </w:p>
    <w:p>
      <w:pPr>
        <w:spacing w:after="160" w:line="300" w:lineRule="auto"/>
      </w:pPr>
      <w:r>
        <w:rPr>
          <w:rFonts w:ascii="Plus Jakarta Sans" w:hAnsi="Plus Jakarta Sans"/>
          <w:b w:val="0"/>
          <w:i w:val="0"/>
          <w:color w:val="1C1C1C"/>
          <w:sz w:val="22"/>
        </w:rPr>
        <w:t>O2Cure has formally transitioned its digital design system to Plus Jakarta Sans as its exclusive primary digital typeface. This high-performance, open-source geometric sans-serif guarantees complete layout metrics preservation across all modern browsers, hyper-optimized loading speeds via a single unified Variable Font package, and absolute structural sharpness on low-DPI mobile devices.</w:t>
      </w:r>
    </w:p>
    <w:tbl>
      <w:tblPr>
        <w:tblW w:type="auto" w:w="0"/>
        <w:jc w:val="center"/>
        <w:tblLook w:firstColumn="1" w:firstRow="1" w:lastColumn="0" w:lastRow="0" w:noHBand="0" w:noVBand="1" w:val="04A0"/>
      </w:tblPr>
      <w:tblGrid>
        <w:gridCol w:w="9360"/>
      </w:tblGrid>
      <w:tr>
        <w:tc>
          <w:tcPr>
            <w:tcW w:type="dxa" w:w="9360"/>
            <w:shd w:fill="F5F5F4"/>
            <w:tcMar>
              <w:top w:w="140" w:type="dxa"/>
              <w:bottom w:w="140" w:type="dxa"/>
              <w:left w:w="200" w:type="dxa"/>
              <w:right w:w="200" w:type="dxa"/>
            </w:tcMar>
            <w:tcBorders>
              <w:top w:val="none"/>
              <w:left w:val="single" w:sz="24" w:space="0" w:color="3A7D2A"/>
              <w:bottom w:val="none"/>
              <w:right w:val="none"/>
            </w:tcBorders>
          </w:tcPr>
          <w:p>
            <w:pPr>
              <w:spacing w:after="0" w:line="288" w:lineRule="auto"/>
            </w:pPr>
            <w:r>
              <w:rPr>
                <w:rFonts w:ascii="Plus Jakarta Sans" w:hAnsi="Plus Jakarta Sans"/>
                <w:i/>
                <w:color w:val="1C1C1C"/>
                <w:sz w:val="21"/>
              </w:rPr>
              <w:t>The Negative Tracking Rule:</w:t>
              <w:br/>
              <w:t>To secure a powerful, engineering-led premium identity—reminiscent of precision lab consoles or aerospace instruments—all display headers must employ strict negative tracking (letter-spacing) properties. Condensing text blocks entirely eradicates the 'stale' or cheap look of standard templates.</w:t>
            </w:r>
          </w:p>
        </w:tc>
      </w:tr>
    </w:tbl>
    <w:p>
      <w:pPr>
        <w:spacing w:after="120"/>
      </w:pPr>
    </w:p>
    <w:p>
      <w:pPr>
        <w:keepNext/>
        <w:spacing w:before="320" w:after="120"/>
      </w:pPr>
      <w:r>
        <w:rPr>
          <w:rFonts w:ascii="Plus Jakarta Sans" w:hAnsi="Plus Jakarta Sans"/>
          <w:b/>
          <w:color w:val="2B6CB0"/>
          <w:sz w:val="30"/>
        </w:rPr>
        <w:t>The Digital Scale Architecture Matrix</w:t>
      </w:r>
    </w:p>
    <w:tbl>
      <w:tblPr>
        <w:tblW w:type="auto" w:w="0"/>
        <w:jc w:val="center"/>
        <w:tblLook w:firstColumn="1" w:firstRow="1" w:lastColumn="0" w:lastRow="0" w:noHBand="0" w:noVBand="1" w:val="04A0"/>
      </w:tblPr>
      <w:tblGrid>
        <w:gridCol w:w="2340"/>
        <w:gridCol w:w="2340"/>
        <w:gridCol w:w="2340"/>
        <w:gridCol w:w="2340"/>
      </w:tblGrid>
      <w:tr>
        <w:tc>
          <w:tcPr>
            <w:tcW w:type="dxa" w:w="2340"/>
            <w:shd w:fill="1A4A7A"/>
            <w:tcMar>
              <w:top w:w="100" w:type="dxa"/>
              <w:bottom w:w="100" w:type="dxa"/>
              <w:left w:w="120" w:type="dxa"/>
              <w:right w:w="120" w:type="dxa"/>
            </w:tcMar>
          </w:tcPr>
          <w:p>
            <w:r>
              <w:rPr>
                <w:rFonts w:ascii="Plus Jakarta Sans" w:hAnsi="Plus Jakarta Sans"/>
                <w:b/>
                <w:color w:val="FFFFFF"/>
              </w:rPr>
              <w:t>Element</w:t>
            </w:r>
          </w:p>
        </w:tc>
        <w:tc>
          <w:tcPr>
            <w:tcW w:type="dxa" w:w="2340"/>
            <w:shd w:fill="1A4A7A"/>
            <w:tcMar>
              <w:top w:w="100" w:type="dxa"/>
              <w:bottom w:w="100" w:type="dxa"/>
              <w:left w:w="120" w:type="dxa"/>
              <w:right w:w="120" w:type="dxa"/>
            </w:tcMar>
          </w:tcPr>
          <w:p>
            <w:r>
              <w:rPr>
                <w:rFonts w:ascii="Plus Jakarta Sans" w:hAnsi="Plus Jakarta Sans"/>
                <w:b/>
                <w:color w:val="FFFFFF"/>
              </w:rPr>
              <w:t>Token / Style Rules</w:t>
            </w:r>
          </w:p>
        </w:tc>
        <w:tc>
          <w:tcPr>
            <w:tcW w:type="dxa" w:w="2340"/>
            <w:shd w:fill="1A4A7A"/>
            <w:tcMar>
              <w:top w:w="100" w:type="dxa"/>
              <w:bottom w:w="100" w:type="dxa"/>
              <w:left w:w="120" w:type="dxa"/>
              <w:right w:w="120" w:type="dxa"/>
            </w:tcMar>
          </w:tcPr>
          <w:p>
            <w:r>
              <w:rPr>
                <w:rFonts w:ascii="Plus Jakarta Sans" w:hAnsi="Plus Jakarta Sans"/>
                <w:b/>
                <w:color w:val="FFFFFF"/>
              </w:rPr>
              <w:t>Digital Application</w:t>
            </w:r>
          </w:p>
        </w:tc>
        <w:tc>
          <w:tcPr>
            <w:tcW w:type="dxa" w:w="2340"/>
            <w:shd w:fill="1A4A7A"/>
            <w:tcMar>
              <w:top w:w="100" w:type="dxa"/>
              <w:bottom w:w="100" w:type="dxa"/>
              <w:left w:w="120" w:type="dxa"/>
              <w:right w:w="120" w:type="dxa"/>
            </w:tcMar>
          </w:tcPr>
          <w:p>
            <w:r>
              <w:rPr>
                <w:rFonts w:ascii="Plus Jakarta Sans" w:hAnsi="Plus Jakarta Sans"/>
                <w:b/>
                <w:color w:val="FFFFFF"/>
              </w:rPr>
              <w:t>Visual Profile</w:t>
            </w:r>
          </w:p>
        </w:tc>
      </w:tr>
      <w:tr>
        <w:tc>
          <w:tcPr>
            <w:tcW w:type="dxa" w:w="2340"/>
            <w:tcMar>
              <w:top w:w="80" w:type="dxa"/>
              <w:bottom w:w="80" w:type="dxa"/>
              <w:left w:w="120" w:type="dxa"/>
              <w:right w:w="120" w:type="dxa"/>
            </w:tcMar>
            <w:shd w:fill="F5F5F4"/>
          </w:tcPr>
          <w:p>
            <w:pPr>
              <w:spacing w:line="276" w:lineRule="auto"/>
            </w:pPr>
            <w:r>
              <w:rPr>
                <w:rFonts w:ascii="Plus Jakarta Sans" w:hAnsi="Plus Jakarta Sans"/>
                <w:color w:val="1C1C1C"/>
                <w:sz w:val="20"/>
              </w:rPr>
              <w:t>Display Hero</w:t>
            </w:r>
          </w:p>
        </w:tc>
        <w:tc>
          <w:tcPr>
            <w:tcW w:type="dxa" w:w="2340"/>
            <w:tcMar>
              <w:top w:w="80" w:type="dxa"/>
              <w:bottom w:w="80" w:type="dxa"/>
              <w:left w:w="120" w:type="dxa"/>
              <w:right w:w="120" w:type="dxa"/>
            </w:tcMar>
            <w:shd w:fill="F5F5F4"/>
          </w:tcPr>
          <w:p>
            <w:pPr>
              <w:spacing w:line="276" w:lineRule="auto"/>
            </w:pPr>
            <w:r>
              <w:rPr>
                <w:rFonts w:ascii="Plus Jakarta Sans" w:hAnsi="Plus Jakarta Sans"/>
                <w:color w:val="1C1C1C"/>
                <w:sz w:val="20"/>
              </w:rPr>
              <w:t>Plus Jakarta Sans Bold (700)</w:t>
              <w:br/>
              <w:t>Size: Fluid clamp</w:t>
              <w:br/>
              <w:t>Tracking: -0.03em</w:t>
              <w:br/>
              <w:t>Line-Height: 1.1</w:t>
            </w:r>
          </w:p>
        </w:tc>
        <w:tc>
          <w:tcPr>
            <w:tcW w:type="dxa" w:w="2340"/>
            <w:tcMar>
              <w:top w:w="80" w:type="dxa"/>
              <w:bottom w:w="80" w:type="dxa"/>
              <w:left w:w="120" w:type="dxa"/>
              <w:right w:w="120" w:type="dxa"/>
            </w:tcMar>
            <w:shd w:fill="F5F5F4"/>
          </w:tcPr>
          <w:p>
            <w:pPr>
              <w:spacing w:line="276" w:lineRule="auto"/>
            </w:pPr>
            <w:r>
              <w:rPr>
                <w:rFonts w:ascii="Plus Jakarta Sans" w:hAnsi="Plus Jakarta Sans"/>
                <w:color w:val="1C1C1C"/>
                <w:sz w:val="20"/>
              </w:rPr>
              <w:t>High-impact statements inside top-fold hero layouts.</w:t>
            </w:r>
          </w:p>
        </w:tc>
        <w:tc>
          <w:tcPr>
            <w:tcW w:type="dxa" w:w="2340"/>
            <w:tcMar>
              <w:top w:w="80" w:type="dxa"/>
              <w:bottom w:w="80" w:type="dxa"/>
              <w:left w:w="120" w:type="dxa"/>
              <w:right w:w="120" w:type="dxa"/>
            </w:tcMar>
            <w:shd w:fill="F5F5F4"/>
          </w:tcPr>
          <w:p>
            <w:pPr>
              <w:spacing w:line="276" w:lineRule="auto"/>
            </w:pPr>
            <w:r>
              <w:rPr>
                <w:rFonts w:ascii="Plus Jakarta Sans" w:hAnsi="Plus Jakarta Sans"/>
                <w:color w:val="1C1C1C"/>
                <w:sz w:val="20"/>
              </w:rPr>
              <w:t>Commandingly sharp, luxurious, and authoritative.</w:t>
            </w:r>
          </w:p>
        </w:tc>
      </w:tr>
      <w:tr>
        <w:tc>
          <w:tcPr>
            <w:tcW w:type="dxa" w:w="2340"/>
            <w:tcMar>
              <w:top w:w="80" w:type="dxa"/>
              <w:bottom w:w="80" w:type="dxa"/>
              <w:left w:w="120" w:type="dxa"/>
              <w:right w:w="120" w:type="dxa"/>
            </w:tcMar>
          </w:tcPr>
          <w:p>
            <w:pPr>
              <w:spacing w:line="276" w:lineRule="auto"/>
            </w:pPr>
            <w:r>
              <w:rPr>
                <w:rFonts w:ascii="Plus Jakarta Sans" w:hAnsi="Plus Jakarta Sans"/>
                <w:color w:val="1C1C1C"/>
                <w:sz w:val="20"/>
              </w:rPr>
              <w:t>Heading 1</w:t>
            </w:r>
          </w:p>
        </w:tc>
        <w:tc>
          <w:tcPr>
            <w:tcW w:type="dxa" w:w="2340"/>
            <w:tcMar>
              <w:top w:w="80" w:type="dxa"/>
              <w:bottom w:w="80" w:type="dxa"/>
              <w:left w:w="120" w:type="dxa"/>
              <w:right w:w="120" w:type="dxa"/>
            </w:tcMar>
          </w:tcPr>
          <w:p>
            <w:pPr>
              <w:spacing w:line="276" w:lineRule="auto"/>
            </w:pPr>
            <w:r>
              <w:rPr>
                <w:rFonts w:ascii="Plus Jakarta Sans" w:hAnsi="Plus Jakarta Sans"/>
                <w:color w:val="1C1C1C"/>
                <w:sz w:val="20"/>
              </w:rPr>
              <w:t>Plus Jakarta Sans SemiBold (600)</w:t>
              <w:br/>
              <w:t>Size: 24pt (1.5rem)</w:t>
              <w:br/>
              <w:t>Tracking: -0.02em</w:t>
              <w:br/>
              <w:t>Line-Height: 1.2</w:t>
            </w:r>
          </w:p>
        </w:tc>
        <w:tc>
          <w:tcPr>
            <w:tcW w:type="dxa" w:w="2340"/>
            <w:tcMar>
              <w:top w:w="80" w:type="dxa"/>
              <w:bottom w:w="80" w:type="dxa"/>
              <w:left w:w="120" w:type="dxa"/>
              <w:right w:w="120" w:type="dxa"/>
            </w:tcMar>
          </w:tcPr>
          <w:p>
            <w:pPr>
              <w:spacing w:line="276" w:lineRule="auto"/>
            </w:pPr>
            <w:r>
              <w:rPr>
                <w:rFonts w:ascii="Plus Jakarta Sans" w:hAnsi="Plus Jakarta Sans"/>
                <w:color w:val="1C1C1C"/>
                <w:sz w:val="20"/>
              </w:rPr>
              <w:t>Primary page section architecture blocks.</w:t>
            </w:r>
          </w:p>
        </w:tc>
        <w:tc>
          <w:tcPr>
            <w:tcW w:type="dxa" w:w="2340"/>
            <w:tcMar>
              <w:top w:w="80" w:type="dxa"/>
              <w:bottom w:w="80" w:type="dxa"/>
              <w:left w:w="120" w:type="dxa"/>
              <w:right w:w="120" w:type="dxa"/>
            </w:tcMar>
          </w:tcPr>
          <w:p>
            <w:pPr>
              <w:spacing w:line="276" w:lineRule="auto"/>
            </w:pPr>
            <w:r>
              <w:rPr>
                <w:rFonts w:ascii="Plus Jakarta Sans" w:hAnsi="Plus Jakarta Sans"/>
                <w:color w:val="1C1C1C"/>
                <w:sz w:val="20"/>
              </w:rPr>
              <w:t>Clinical, precise, and structurally grounded.</w:t>
            </w:r>
          </w:p>
        </w:tc>
      </w:tr>
      <w:tr>
        <w:tc>
          <w:tcPr>
            <w:tcW w:type="dxa" w:w="2340"/>
            <w:tcMar>
              <w:top w:w="80" w:type="dxa"/>
              <w:bottom w:w="80" w:type="dxa"/>
              <w:left w:w="120" w:type="dxa"/>
              <w:right w:w="120" w:type="dxa"/>
            </w:tcMar>
            <w:shd w:fill="F5F5F4"/>
          </w:tcPr>
          <w:p>
            <w:pPr>
              <w:spacing w:line="276" w:lineRule="auto"/>
            </w:pPr>
            <w:r>
              <w:rPr>
                <w:rFonts w:ascii="Plus Jakarta Sans" w:hAnsi="Plus Jakarta Sans"/>
                <w:color w:val="1C1C1C"/>
                <w:sz w:val="20"/>
              </w:rPr>
              <w:t>Heading 2</w:t>
            </w:r>
          </w:p>
        </w:tc>
        <w:tc>
          <w:tcPr>
            <w:tcW w:type="dxa" w:w="2340"/>
            <w:tcMar>
              <w:top w:w="80" w:type="dxa"/>
              <w:bottom w:w="80" w:type="dxa"/>
              <w:left w:w="120" w:type="dxa"/>
              <w:right w:w="120" w:type="dxa"/>
            </w:tcMar>
            <w:shd w:fill="F5F5F4"/>
          </w:tcPr>
          <w:p>
            <w:pPr>
              <w:spacing w:line="276" w:lineRule="auto"/>
            </w:pPr>
            <w:r>
              <w:rPr>
                <w:rFonts w:ascii="Plus Jakarta Sans" w:hAnsi="Plus Jakarta Sans"/>
                <w:color w:val="1C1C1C"/>
                <w:sz w:val="20"/>
              </w:rPr>
              <w:t>Plus Jakarta Sans SemiBold (600)</w:t>
              <w:br/>
              <w:t>Size: 18pt (1.125rem)</w:t>
              <w:br/>
              <w:t>Tracking: -0.01em</w:t>
              <w:br/>
              <w:t>Line-Height: 1.3</w:t>
            </w:r>
          </w:p>
        </w:tc>
        <w:tc>
          <w:tcPr>
            <w:tcW w:type="dxa" w:w="2340"/>
            <w:tcMar>
              <w:top w:w="80" w:type="dxa"/>
              <w:bottom w:w="80" w:type="dxa"/>
              <w:left w:w="120" w:type="dxa"/>
              <w:right w:w="120" w:type="dxa"/>
            </w:tcMar>
            <w:shd w:fill="F5F5F4"/>
          </w:tcPr>
          <w:p>
            <w:pPr>
              <w:spacing w:line="276" w:lineRule="auto"/>
            </w:pPr>
            <w:r>
              <w:rPr>
                <w:rFonts w:ascii="Plus Jakarta Sans" w:hAnsi="Plus Jakarta Sans"/>
                <w:color w:val="1C1C1C"/>
                <w:sz w:val="20"/>
              </w:rPr>
              <w:t>Sub-headers, features, and technology chapters.</w:t>
            </w:r>
          </w:p>
        </w:tc>
        <w:tc>
          <w:tcPr>
            <w:tcW w:type="dxa" w:w="2340"/>
            <w:tcMar>
              <w:top w:w="80" w:type="dxa"/>
              <w:bottom w:w="80" w:type="dxa"/>
              <w:left w:w="120" w:type="dxa"/>
              <w:right w:w="120" w:type="dxa"/>
            </w:tcMar>
            <w:shd w:fill="F5F5F4"/>
          </w:tcPr>
          <w:p>
            <w:pPr>
              <w:spacing w:line="276" w:lineRule="auto"/>
            </w:pPr>
            <w:r>
              <w:rPr>
                <w:rFonts w:ascii="Plus Jakarta Sans" w:hAnsi="Plus Jakarta Sans"/>
                <w:color w:val="1C1C1C"/>
                <w:sz w:val="20"/>
              </w:rPr>
              <w:t>Balanced and highly technical geometric modernism.</w:t>
            </w:r>
          </w:p>
        </w:tc>
      </w:tr>
      <w:tr>
        <w:tc>
          <w:tcPr>
            <w:tcW w:type="dxa" w:w="2340"/>
            <w:tcMar>
              <w:top w:w="80" w:type="dxa"/>
              <w:bottom w:w="80" w:type="dxa"/>
              <w:left w:w="120" w:type="dxa"/>
              <w:right w:w="120" w:type="dxa"/>
            </w:tcMar>
          </w:tcPr>
          <w:p>
            <w:pPr>
              <w:spacing w:line="276" w:lineRule="auto"/>
            </w:pPr>
            <w:r>
              <w:rPr>
                <w:rFonts w:ascii="Plus Jakarta Sans" w:hAnsi="Plus Jakarta Sans"/>
                <w:color w:val="1C1C1C"/>
                <w:sz w:val="20"/>
              </w:rPr>
              <w:t>Body Text</w:t>
            </w:r>
          </w:p>
        </w:tc>
        <w:tc>
          <w:tcPr>
            <w:tcW w:type="dxa" w:w="2340"/>
            <w:tcMar>
              <w:top w:w="80" w:type="dxa"/>
              <w:bottom w:w="80" w:type="dxa"/>
              <w:left w:w="120" w:type="dxa"/>
              <w:right w:w="120" w:type="dxa"/>
            </w:tcMar>
          </w:tcPr>
          <w:p>
            <w:pPr>
              <w:spacing w:line="276" w:lineRule="auto"/>
            </w:pPr>
            <w:r>
              <w:rPr>
                <w:rFonts w:ascii="Plus Jakarta Sans" w:hAnsi="Plus Jakarta Sans"/>
                <w:color w:val="1C1C1C"/>
                <w:sz w:val="20"/>
              </w:rPr>
              <w:t>Plus Jakarta Sans Regular (400)</w:t>
              <w:br/>
              <w:t>Size: 12pt (1rem)</w:t>
              <w:br/>
              <w:t>Tracking: -0.01em</w:t>
              <w:br/>
              <w:t>Line-Height: 1.6</w:t>
            </w:r>
          </w:p>
        </w:tc>
        <w:tc>
          <w:tcPr>
            <w:tcW w:type="dxa" w:w="2340"/>
            <w:tcMar>
              <w:top w:w="80" w:type="dxa"/>
              <w:bottom w:w="80" w:type="dxa"/>
              <w:left w:w="120" w:type="dxa"/>
              <w:right w:w="120" w:type="dxa"/>
            </w:tcMar>
          </w:tcPr>
          <w:p>
            <w:pPr>
              <w:spacing w:line="276" w:lineRule="auto"/>
            </w:pPr>
            <w:r>
              <w:rPr>
                <w:rFonts w:ascii="Plus Jakarta Sans" w:hAnsi="Plus Jakarta Sans"/>
                <w:color w:val="1C1C1C"/>
                <w:sz w:val="20"/>
              </w:rPr>
              <w:t>All core descriptive blocks, narratives, and data lists.</w:t>
            </w:r>
          </w:p>
        </w:tc>
        <w:tc>
          <w:tcPr>
            <w:tcW w:type="dxa" w:w="2340"/>
            <w:tcMar>
              <w:top w:w="80" w:type="dxa"/>
              <w:bottom w:w="80" w:type="dxa"/>
              <w:left w:w="120" w:type="dxa"/>
              <w:right w:w="120" w:type="dxa"/>
            </w:tcMar>
          </w:tcPr>
          <w:p>
            <w:pPr>
              <w:spacing w:line="276" w:lineRule="auto"/>
            </w:pPr>
            <w:r>
              <w:rPr>
                <w:rFonts w:ascii="Plus Jakarta Sans" w:hAnsi="Plus Jakarta Sans"/>
                <w:color w:val="1C1C1C"/>
                <w:sz w:val="20"/>
              </w:rPr>
              <w:t>Open, highly legible, clean scientific reporting.</w:t>
            </w:r>
          </w:p>
        </w:tc>
      </w:tr>
      <w:tr>
        <w:tc>
          <w:tcPr>
            <w:tcW w:type="dxa" w:w="2340"/>
            <w:tcMar>
              <w:top w:w="80" w:type="dxa"/>
              <w:bottom w:w="80" w:type="dxa"/>
              <w:left w:w="120" w:type="dxa"/>
              <w:right w:w="120" w:type="dxa"/>
            </w:tcMar>
            <w:shd w:fill="F5F5F4"/>
          </w:tcPr>
          <w:p>
            <w:pPr>
              <w:spacing w:line="276" w:lineRule="auto"/>
            </w:pPr>
            <w:r>
              <w:rPr>
                <w:rFonts w:ascii="Plus Jakarta Sans" w:hAnsi="Plus Jakarta Sans"/>
                <w:color w:val="1C1C1C"/>
                <w:sz w:val="20"/>
              </w:rPr>
              <w:t>UI Badges</w:t>
            </w:r>
          </w:p>
        </w:tc>
        <w:tc>
          <w:tcPr>
            <w:tcW w:type="dxa" w:w="2340"/>
            <w:tcMar>
              <w:top w:w="80" w:type="dxa"/>
              <w:bottom w:w="80" w:type="dxa"/>
              <w:left w:w="120" w:type="dxa"/>
              <w:right w:w="120" w:type="dxa"/>
            </w:tcMar>
            <w:shd w:fill="F5F5F4"/>
          </w:tcPr>
          <w:p>
            <w:pPr>
              <w:spacing w:line="276" w:lineRule="auto"/>
            </w:pPr>
            <w:r>
              <w:rPr>
                <w:rFonts w:ascii="Plus Jakarta Sans" w:hAnsi="Plus Jakarta Sans"/>
                <w:color w:val="1C1C1C"/>
                <w:sz w:val="20"/>
              </w:rPr>
              <w:t>Plus Jakarta Sans SemiBold (600)</w:t>
              <w:br/>
              <w:t>Size: 9pt (0.75rem)</w:t>
              <w:br/>
              <w:t>Tracking: +0.05em</w:t>
              <w:br/>
              <w:t>Style: ALL CAPS</w:t>
            </w:r>
          </w:p>
        </w:tc>
        <w:tc>
          <w:tcPr>
            <w:tcW w:type="dxa" w:w="2340"/>
            <w:tcMar>
              <w:top w:w="80" w:type="dxa"/>
              <w:bottom w:w="80" w:type="dxa"/>
              <w:left w:w="120" w:type="dxa"/>
              <w:right w:w="120" w:type="dxa"/>
            </w:tcMar>
            <w:shd w:fill="F5F5F4"/>
          </w:tcPr>
          <w:p>
            <w:pPr>
              <w:spacing w:line="276" w:lineRule="auto"/>
            </w:pPr>
            <w:r>
              <w:rPr>
                <w:rFonts w:ascii="Plus Jakarta Sans" w:hAnsi="Plus Jakarta Sans"/>
                <w:color w:val="1C1C1C"/>
                <w:sz w:val="20"/>
              </w:rPr>
              <w:t>Environmental flags, success labels, system tags.</w:t>
            </w:r>
          </w:p>
        </w:tc>
        <w:tc>
          <w:tcPr>
            <w:tcW w:type="dxa" w:w="2340"/>
            <w:tcMar>
              <w:top w:w="80" w:type="dxa"/>
              <w:bottom w:w="80" w:type="dxa"/>
              <w:left w:w="120" w:type="dxa"/>
              <w:right w:w="120" w:type="dxa"/>
            </w:tcMar>
            <w:shd w:fill="F5F5F4"/>
          </w:tcPr>
          <w:p>
            <w:pPr>
              <w:spacing w:line="276" w:lineRule="auto"/>
            </w:pPr>
            <w:r>
              <w:rPr>
                <w:rFonts w:ascii="Plus Jakarta Sans" w:hAnsi="Plus Jakarta Sans"/>
                <w:color w:val="1C1C1C"/>
                <w:sz w:val="20"/>
              </w:rPr>
              <w:t>Hyper-functional, utility-driven machine metadata.</w:t>
            </w:r>
          </w:p>
        </w:tc>
      </w:tr>
    </w:tbl>
    <w:p>
      <w:pPr>
        <w:spacing w:after="240"/>
      </w:pPr>
    </w:p>
    <w:p>
      <w:pPr>
        <w:keepNext/>
        <w:spacing w:before="480" w:after="240"/>
      </w:pPr>
      <w:r>
        <w:rPr>
          <w:rFonts w:ascii="Plus Jakarta Sans" w:hAnsi="Plus Jakarta Sans"/>
          <w:b/>
          <w:color w:val="1A4A7A"/>
          <w:sz w:val="44"/>
        </w:rPr>
        <w:t>05 — VOICE &amp; TONE: HOW WE SPEAK</w:t>
      </w:r>
    </w:p>
    <w:p>
      <w:pPr>
        <w:spacing w:after="160" w:line="300" w:lineRule="auto"/>
      </w:pPr>
      <w:r>
        <w:rPr>
          <w:rFonts w:ascii="Plus Jakarta Sans" w:hAnsi="Plus Jakarta Sans"/>
          <w:b w:val="0"/>
          <w:i w:val="0"/>
          <w:color w:val="1C1C1C"/>
          <w:sz w:val="22"/>
        </w:rPr>
        <w:t>O2Cure speaks with the direct, clinical, and reassuring clarity of a senior medical specialist delivering a professional consultation. We completely bypass consumer sales tricks, hyperactive exclamation marks, and empty buzzwords.</w:t>
      </w:r>
    </w:p>
    <w:p>
      <w:pPr>
        <w:spacing w:after="160" w:line="300" w:lineRule="auto"/>
      </w:pPr>
      <w:r>
        <w:rPr>
          <w:rFonts w:ascii="Plus Jakarta Sans" w:hAnsi="Plus Jakarta Sans"/>
          <w:b/>
          <w:i w:val="0"/>
          <w:color w:val="1C1C1C"/>
          <w:sz w:val="22"/>
        </w:rPr>
        <w:t>• Scientific: Every descriptive note must align with empirical physics, chemistry, or certified biological testing.</w:t>
      </w:r>
    </w:p>
    <w:p>
      <w:pPr>
        <w:spacing w:after="160" w:line="300" w:lineRule="auto"/>
      </w:pPr>
      <w:r>
        <w:rPr>
          <w:rFonts w:ascii="Plus Jakarta Sans" w:hAnsi="Plus Jakarta Sans"/>
          <w:b/>
          <w:i w:val="0"/>
          <w:color w:val="1C1C1C"/>
          <w:sz w:val="22"/>
        </w:rPr>
        <w:t>• Trustworthy: We present real values, lab constraints, and explicit NABL bounds. We never make absolute claims like '100% pure air forever'.</w:t>
      </w:r>
    </w:p>
    <w:p>
      <w:pPr>
        <w:spacing w:after="160" w:line="300" w:lineRule="auto"/>
      </w:pPr>
      <w:r>
        <w:rPr>
          <w:rFonts w:ascii="Plus Jakarta Sans" w:hAnsi="Plus Jakarta Sans"/>
          <w:b/>
          <w:i w:val="0"/>
          <w:color w:val="1C1C1C"/>
          <w:sz w:val="22"/>
        </w:rPr>
        <w:t>• Clear: Technical data is prioritized but translated through direct analogies that immediately make sense to structural engineers and homeowners alike.</w:t>
      </w:r>
    </w:p>
    <w:p>
      <w:pPr>
        <w:spacing w:after="160" w:line="300" w:lineRule="auto"/>
      </w:pPr>
      <w:r>
        <w:rPr>
          <w:rFonts w:ascii="Plus Jakarta Sans" w:hAnsi="Plus Jakarta Sans"/>
          <w:b/>
          <w:i w:val="0"/>
          <w:color w:val="1C1C1C"/>
          <w:sz w:val="22"/>
        </w:rPr>
        <w:t>• Caring: We emphasize protection, human health continuity, and systematic hazard mitigation without resorting to fear-mongering.</w:t>
      </w:r>
    </w:p>
    <w:p>
      <w:pPr>
        <w:keepNext/>
        <w:spacing w:before="320" w:after="120"/>
      </w:pPr>
      <w:r>
        <w:rPr>
          <w:rFonts w:ascii="Plus Jakarta Sans" w:hAnsi="Plus Jakarta Sans"/>
          <w:b/>
          <w:color w:val="2B6CB0"/>
          <w:sz w:val="30"/>
        </w:rPr>
        <w:t>Do and Don't Blueprint Matrices</w:t>
      </w:r>
    </w:p>
    <w:tbl>
      <w:tblPr>
        <w:tblW w:type="auto" w:w="0"/>
        <w:jc w:val="center"/>
        <w:tblLook w:firstColumn="1" w:firstRow="1" w:lastColumn="0" w:lastRow="0" w:noHBand="0" w:noVBand="1" w:val="04A0"/>
      </w:tblPr>
      <w:tblGrid>
        <w:gridCol w:w="4680"/>
        <w:gridCol w:w="4680"/>
      </w:tblGrid>
      <w:tr>
        <w:tc>
          <w:tcPr>
            <w:tcW w:type="dxa" w:w="4680"/>
            <w:tcMar>
              <w:top w:w="80" w:type="dxa"/>
              <w:bottom w:w="80" w:type="dxa"/>
              <w:left w:w="120" w:type="dxa"/>
              <w:right w:w="120" w:type="dxa"/>
            </w:tcMar>
          </w:tcPr>
          <w:p>
            <w:r>
              <w:rPr>
                <w:rFonts w:ascii="Plus Jakarta Sans" w:hAnsi="Plus Jakarta Sans"/>
                <w:color w:val="3A7D2A"/>
              </w:rPr>
              <w:t>✓ APPROVED: 'Our Plug &amp; Play system eliminates 99% of bacteria and viruses—tested and thoroughly certified by national NABL-accredited laboratory frameworks.'</w:t>
            </w:r>
          </w:p>
        </w:tc>
        <w:tc>
          <w:tcPr>
            <w:tcW w:type="dxa" w:w="4680"/>
            <w:tcMar>
              <w:top w:w="80" w:type="dxa"/>
              <w:bottom w:w="80" w:type="dxa"/>
              <w:left w:w="120" w:type="dxa"/>
              <w:right w:w="120" w:type="dxa"/>
            </w:tcMar>
          </w:tcPr>
          <w:p>
            <w:r>
              <w:rPr>
                <w:rFonts w:ascii="Plus Jakarta Sans" w:hAnsi="Plus Jakarta Sans"/>
                <w:color w:val="B42828"/>
              </w:rPr>
              <w:t>✗ PROHIBITED: 'Breathe better and live your absolute best life with our mind-blowing, revolutionary air purification magic tech!'</w:t>
            </w:r>
          </w:p>
        </w:tc>
      </w:tr>
      <w:tr>
        <w:tc>
          <w:tcPr>
            <w:tcW w:type="dxa" w:w="4680"/>
            <w:tcMar>
              <w:top w:w="80" w:type="dxa"/>
              <w:bottom w:w="80" w:type="dxa"/>
              <w:left w:w="120" w:type="dxa"/>
              <w:right w:w="120" w:type="dxa"/>
            </w:tcMar>
          </w:tcPr>
          <w:p>
            <w:r>
              <w:rPr>
                <w:rFonts w:ascii="Plus Jakarta Sans" w:hAnsi="Plus Jakarta Sans"/>
                <w:color w:val="3A7D2A"/>
              </w:rPr>
              <w:t>✓ APPROVED: 'PHI Cell technology produces a continuous stream of hydro-peroxide plasma—mirroring the natural defensive compound synthesized by the human immune system—to decompose ambient toxins.'</w:t>
            </w:r>
          </w:p>
        </w:tc>
        <w:tc>
          <w:tcPr>
            <w:tcW w:type="dxa" w:w="4680"/>
            <w:tcMar>
              <w:top w:w="80" w:type="dxa"/>
              <w:bottom w:w="80" w:type="dxa"/>
              <w:left w:w="120" w:type="dxa"/>
              <w:right w:w="120" w:type="dxa"/>
            </w:tcMar>
          </w:tcPr>
          <w:p>
            <w:r>
              <w:rPr>
                <w:rFonts w:ascii="Plus Jakarta Sans" w:hAnsi="Plus Jakarta Sans"/>
                <w:color w:val="B42828"/>
              </w:rPr>
              <w:t>✗ PROHIBITED: 'Your family is in absolute mortal DANGER every microsecond they spend breathing un-purified air! Buy right now before it's too late!'</w:t>
            </w:r>
          </w:p>
        </w:tc>
      </w:tr>
      <w:tr>
        <w:tc>
          <w:tcPr>
            <w:tcW w:type="dxa" w:w="4680"/>
            <w:tcMar>
              <w:top w:w="80" w:type="dxa"/>
              <w:bottom w:w="80" w:type="dxa"/>
              <w:left w:w="120" w:type="dxa"/>
              <w:right w:w="120" w:type="dxa"/>
            </w:tcMar>
          </w:tcPr>
          <w:p>
            <w:r>
              <w:rPr>
                <w:rFonts w:ascii="Plus Jakarta Sans" w:hAnsi="Plus Jakarta Sans"/>
                <w:color w:val="3A7D2A"/>
              </w:rPr>
              <w:t>✓ APPROVED: 'The O2Cure Nano AC Filter is engineered to capture PM2.5 fractions, particulate layers, and active VOCs. Replace every 6 months for uncompromised efficiency.'</w:t>
            </w:r>
          </w:p>
        </w:tc>
        <w:tc>
          <w:tcPr>
            <w:tcW w:type="dxa" w:w="4680"/>
            <w:tcMar>
              <w:top w:w="80" w:type="dxa"/>
              <w:bottom w:w="80" w:type="dxa"/>
              <w:left w:w="120" w:type="dxa"/>
              <w:right w:w="120" w:type="dxa"/>
            </w:tcMar>
          </w:tcPr>
          <w:p>
            <w:r>
              <w:rPr>
                <w:rFonts w:ascii="Plus Jakarta Sans" w:hAnsi="Plus Jakarta Sans"/>
                <w:color w:val="B42828"/>
              </w:rPr>
              <w:t>✗ PROHIBITED: 'Our magical nano filter strips all bad particles away to make your home 100% pristine and perfectly safe for everyone!'</w:t>
            </w:r>
          </w:p>
        </w:tc>
      </w:tr>
    </w:tbl>
    <w:p>
      <w:r>
        <w:br w:type="page"/>
      </w:r>
    </w:p>
    <w:p>
      <w:pPr>
        <w:keepNext/>
        <w:spacing w:before="480" w:after="240"/>
      </w:pPr>
      <w:r>
        <w:rPr>
          <w:rFonts w:ascii="Plus Jakarta Sans" w:hAnsi="Plus Jakarta Sans"/>
          <w:b/>
          <w:color w:val="1A4A7A"/>
          <w:sz w:val="44"/>
        </w:rPr>
        <w:t>06 — IMAGERY &amp; VISUAL LANGUAGE</w:t>
      </w:r>
    </w:p>
    <w:p>
      <w:pPr>
        <w:spacing w:after="160" w:line="300" w:lineRule="auto"/>
      </w:pPr>
      <w:r>
        <w:rPr>
          <w:rFonts w:ascii="Plus Jakarta Sans" w:hAnsi="Plus Jakarta Sans"/>
          <w:b w:val="0"/>
          <w:i w:val="0"/>
          <w:color w:val="1C1C1C"/>
          <w:sz w:val="22"/>
        </w:rPr>
        <w:t>O2Cure imagery focuses entirely on clarity, physical realism, and verifiable scientific context. We strictly bar generic e-commerce templates or artificial lifestyle representations.</w:t>
      </w:r>
    </w:p>
    <w:p>
      <w:pPr>
        <w:spacing w:after="160" w:line="300" w:lineRule="auto"/>
      </w:pPr>
      <w:r>
        <w:rPr>
          <w:rFonts w:ascii="Plus Jakarta Sans" w:hAnsi="Plus Jakarta Sans"/>
          <w:b/>
          <w:i w:val="0"/>
          <w:color w:val="3A7D2A"/>
          <w:sz w:val="22"/>
        </w:rPr>
        <w:t>✓ MANDATORY IMAGERY COMPONENTS:</w:t>
      </w:r>
    </w:p>
    <w:p>
      <w:pPr>
        <w:spacing w:after="160" w:line="300" w:lineRule="auto"/>
      </w:pPr>
      <w:r>
        <w:rPr>
          <w:rFonts w:ascii="Plus Jakarta Sans" w:hAnsi="Plus Jakarta Sans"/>
          <w:b w:val="0"/>
          <w:i w:val="0"/>
          <w:color w:val="1C1C1C"/>
          <w:sz w:val="22"/>
        </w:rPr>
        <w:t>• Genuine, documented laboratory environments, active clean rooms, and physical testing apparatus settings.</w:t>
        <w:br/>
        <w:t>• High-precision 3D engineering renders of internal component architectures (e.g., active filter stacks, PHI cells).</w:t>
        <w:br/>
        <w:t>• Real, natively configured Indian office layouts, authentic clinical environments, and minimalist residential architecture.</w:t>
        <w:br/>
        <w:t>• Scientific data graphs, particulate interaction matrices, and macro microscopic particle translations.</w:t>
      </w:r>
    </w:p>
    <w:p>
      <w:pPr>
        <w:spacing w:after="160" w:line="300" w:lineRule="auto"/>
      </w:pPr>
      <w:r>
        <w:rPr>
          <w:rFonts w:ascii="Plus Jakarta Sans" w:hAnsi="Plus Jakarta Sans"/>
          <w:b/>
          <w:i w:val="0"/>
          <w:color w:val="B42828"/>
          <w:sz w:val="22"/>
        </w:rPr>
        <w:t>✗ STRICTLY FORBIDDEN ELEMENTS:</w:t>
      </w:r>
    </w:p>
    <w:p>
      <w:pPr>
        <w:spacing w:after="160" w:line="300" w:lineRule="auto"/>
      </w:pPr>
      <w:r>
        <w:rPr>
          <w:rFonts w:ascii="Plus Jakarta Sans" w:hAnsi="Plus Jakarta Sans"/>
          <w:b w:val="0"/>
          <w:i w:val="0"/>
          <w:color w:val="1C1C1C"/>
          <w:sz w:val="22"/>
        </w:rPr>
        <w:t>• Artificial stock-photo families smiling or looking unnaturally at appliances.</w:t>
        <w:br/>
        <w:t>• Heavily over-edited, artificially saturated, or generic western lifestyle photography templates.</w:t>
        <w:br/>
        <w:t>• Illustrated cartoons, vector mascots, ungrounded fictional graphics, or cluttered background textures.</w:t>
      </w:r>
    </w:p>
    <w:p>
      <w:pPr>
        <w:keepNext/>
        <w:spacing w:before="480" w:after="240"/>
      </w:pPr>
      <w:r>
        <w:rPr>
          <w:rFonts w:ascii="Plus Jakarta Sans" w:hAnsi="Plus Jakarta Sans"/>
          <w:b/>
          <w:color w:val="1A4A7A"/>
          <w:sz w:val="44"/>
        </w:rPr>
        <w:t>07 — DIGITAL UI &amp; LAYOUT ARCHITECTURE</w:t>
      </w:r>
    </w:p>
    <w:p>
      <w:pPr>
        <w:spacing w:after="160" w:line="300" w:lineRule="auto"/>
      </w:pPr>
      <w:r>
        <w:rPr>
          <w:rFonts w:ascii="Plus Jakarta Sans" w:hAnsi="Plus Jakarta Sans"/>
          <w:b w:val="0"/>
          <w:i w:val="0"/>
          <w:color w:val="1C1C1C"/>
          <w:sz w:val="22"/>
        </w:rPr>
        <w:t>The layout structure works like a physical engineering gallery. Spacing is strictly governed by a uniform 8px Base Grid System to preserve elite structural flow and completely prevent interface crowding.</w:t>
      </w:r>
    </w:p>
    <w:p>
      <w:pPr>
        <w:spacing w:after="160" w:line="300" w:lineRule="auto"/>
      </w:pPr>
      <w:r>
        <w:rPr>
          <w:rFonts w:ascii="Plus Jakarta Sans" w:hAnsi="Plus Jakarta Sans"/>
          <w:b w:val="0"/>
          <w:i w:val="0"/>
          <w:color w:val="1C1C1C"/>
          <w:sz w:val="22"/>
        </w:rPr>
        <w:t>• Spacing scale:</w:t>
        <w:br/>
        <w:t xml:space="preserve">  - 16px (md): Internal component padding (e.g., inside form fields, card content wrappers).</w:t>
        <w:br/>
        <w:t xml:space="preserve">  - 32px (lg): Spacing separating related textual groupings and adjacent sub-blocks.</w:t>
        <w:br/>
        <w:t xml:space="preserve">  - 64px (xl): Internal top and bottom padding fields within layout sections.</w:t>
        <w:br/>
        <w:t xml:space="preserve">  - 80px+ (2xl): Page-level transitions and cinematic hero section breathing space.</w:t>
      </w:r>
    </w:p>
    <w:p>
      <w:pPr>
        <w:spacing w:after="160" w:line="300" w:lineRule="auto"/>
      </w:pPr>
      <w:r>
        <w:rPr>
          <w:rFonts w:ascii="Plus Jakarta Sans" w:hAnsi="Plus Jakarta Sans"/>
          <w:b w:val="0"/>
          <w:i w:val="0"/>
          <w:color w:val="1C1C1C"/>
          <w:sz w:val="22"/>
        </w:rPr>
        <w:t>• Anti-Scroll Fatigue Directive: While open space must be deployed generously to give sections breathing room, completely blank or inactive viewports are prohibited during layout transitions. As a previous chapter section leaves the screen, the incoming header must actively enter the viewport or execute a fade-up sequence to maintain maximum interactive momentum.</w:t>
      </w:r>
    </w:p>
    <w:p>
      <w:pPr>
        <w:spacing w:after="160" w:line="300" w:lineRule="auto"/>
      </w:pPr>
      <w:r>
        <w:rPr>
          <w:rFonts w:ascii="Plus Jakarta Sans" w:hAnsi="Plus Jakarta Sans"/>
          <w:b w:val="0"/>
          <w:i w:val="0"/>
          <w:color w:val="1C1C1C"/>
          <w:sz w:val="22"/>
        </w:rPr>
        <w:t>• Frictionless Button Nomenclature: To match our high-end authority, button labels must never read like low-tier commercial checkouts. Text like 'Buy Now', 'Order Now', or 'Purchase' is explicitly banned. Instead, mandatory alternatives include: 'Discover Solutions', 'Explore Technology', 'Learn More', and 'Request Engineering Consultation'.</w:t>
      </w:r>
    </w:p>
    <w:p>
      <w:pPr>
        <w:keepNext/>
        <w:spacing w:before="480" w:after="240"/>
      </w:pPr>
      <w:r>
        <w:rPr>
          <w:rFonts w:ascii="Plus Jakarta Sans" w:hAnsi="Plus Jakarta Sans"/>
          <w:b/>
          <w:color w:val="1A4A7A"/>
          <w:sz w:val="44"/>
        </w:rPr>
        <w:t>08 — REVISED MOTION PHYSICS &amp; VISUAL ENGINE</w:t>
      </w:r>
    </w:p>
    <w:p>
      <w:pPr>
        <w:spacing w:after="160" w:line="300" w:lineRule="auto"/>
      </w:pPr>
      <w:r>
        <w:rPr>
          <w:rFonts w:ascii="Plus Jakarta Sans" w:hAnsi="Plus Jakarta Sans"/>
          <w:b w:val="0"/>
          <w:i w:val="0"/>
          <w:color w:val="1C1C1C"/>
          <w:sz w:val="22"/>
        </w:rPr>
        <w:t>Static layouts or chaotic web frames degrade the premium illusion. All user interface motion must mirror exact environmental physics principles.</w:t>
      </w:r>
    </w:p>
    <w:p>
      <w:pPr>
        <w:spacing w:after="160" w:line="300" w:lineRule="auto"/>
      </w:pPr>
      <w:r>
        <w:rPr>
          <w:rFonts w:ascii="Plus Jakarta Sans" w:hAnsi="Plus Jakarta Sans"/>
          <w:b/>
          <w:i w:val="0"/>
          <w:color w:val="1C1C1C"/>
          <w:sz w:val="22"/>
        </w:rPr>
        <w:t>1. The Smooth Transition Scale: All panel expansions, accordion shifts, or environment changes must take exactly 600ms using a clean, hardware-stabilized easing function: cubic-bezier(0.16, 1, 0.3, 1). Bouncy, snapping, or loose spring mechanics are strictly prohibited.</w:t>
      </w:r>
    </w:p>
    <w:p>
      <w:pPr>
        <w:spacing w:after="160" w:line="300" w:lineRule="auto"/>
      </w:pPr>
      <w:r>
        <w:rPr>
          <w:rFonts w:ascii="Plus Jakarta Sans" w:hAnsi="Plus Jakarta Sans"/>
          <w:b/>
          <w:i w:val="0"/>
          <w:color w:val="1C1C1C"/>
          <w:sz w:val="22"/>
        </w:rPr>
        <w:t>2. Hardware-Accelerated Particles: All ambient vector layers tracking air movement must execute via HTML5 Canvas or CSS3 translate3d structures. Layer shifts must maintain a locked 60 FPS output tracking standard across all device environments.</w:t>
      </w:r>
    </w:p>
    <w:p>
      <w:pPr>
        <w:spacing w:after="160" w:line="300" w:lineRule="auto"/>
      </w:pPr>
      <w:r>
        <w:rPr>
          <w:rFonts w:ascii="Plus Jakarta Sans" w:hAnsi="Plus Jakarta Sans"/>
          <w:b/>
          <w:i w:val="0"/>
          <w:color w:val="1C1C1C"/>
          <w:sz w:val="22"/>
        </w:rPr>
        <w:t>3. The Purification Direction Pattern: In interactive states (such as 'The Breath Divide' hero framework), dark polluted particles on the right must drift purposefully toward the central purifier vector. Concurrently, crisp blue-white clean air particles must exit from the left side with a stabilized, slow, and calming rhythm to create psychological relief and safety.</w:t>
      </w:r>
    </w:p>
    <w:p>
      <w:pPr>
        <w:spacing w:after="160" w:line="300" w:lineRule="auto"/>
      </w:pPr>
      <w:r>
        <w:rPr>
          <w:rFonts w:ascii="Plus Jakarta Sans" w:hAnsi="Plus Jakarta Sans"/>
          <w:b/>
          <w:i w:val="0"/>
          <w:color w:val="1C1C1C"/>
          <w:sz w:val="22"/>
        </w:rPr>
        <w:t>4. The Sequential Event Chain: When environmental indexes shift (such as local AQI tracking values falling from 186 down to 38), the numerical value transition must execute as the absolute final step of the chain—triggering only after the background lighting has successfully completed its shift from hazy brown to pristine clinical blue-white space.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