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color w:val="555F6D"/>
          <w:sz w:val="20"/>
        </w:rPr>
        <w:t>BCSE355L – Cloud Architecture Design  ·  Project Phase-I</w:t>
      </w:r>
    </w:p>
    <w:p>
      <w:pPr>
        <w:spacing w:after="40"/>
      </w:pPr>
      <w:r>
        <w:rPr>
          <w:b/>
          <w:i w:val="0"/>
          <w:color w:val="1F3A5F"/>
          <w:sz w:val="22"/>
        </w:rPr>
        <w:t>InfraDriftGuard</w:t>
      </w:r>
    </w:p>
    <w:p>
      <w:pPr>
        <w:pStyle w:val="Heading1"/>
      </w:pPr>
      <w:r>
        <w:t>Novelty Summary</w:t>
      </w:r>
    </w:p>
    <w:p>
      <w:pPr>
        <w:pStyle w:val="Heading2"/>
      </w:pPr>
      <w:r>
        <w:t>Novelty Summary</w:t>
      </w:r>
    </w:p>
    <w:p>
      <w:r>
        <w:rPr>
          <w:b/>
          <w:i w:val="0"/>
        </w:rPr>
        <w:t>What makes InfraDriftGuard different from existing work:</w:t>
      </w:r>
    </w:p>
    <w:p>
      <w:pPr>
        <w:pStyle w:val="ListBullet"/>
      </w:pPr>
      <w:r>
        <w:rPr>
          <w:b/>
        </w:rPr>
        <w:t xml:space="preserve">Better architecture – runtime, not just code. </w:t>
      </w:r>
      <w:r>
        <w:rPr>
          <w:b w:val="0"/>
        </w:rPr>
        <w:t>Unlike static scanners (GLITCH, GASEL, SLI-KUBE, SlsDetector), InfraDriftGuard checks the live AWS account against the Terraform-rendered desired state, catching console edits and emergency changes made after deployment.</w:t>
      </w:r>
    </w:p>
    <w:p>
      <w:pPr>
        <w:pStyle w:val="ListBullet"/>
      </w:pPr>
      <w:r>
        <w:rPr>
          <w:b/>
        </w:rPr>
        <w:t xml:space="preserve">New feature – risk level for every drift. </w:t>
      </w:r>
      <w:r>
        <w:rPr>
          <w:b w:val="0"/>
        </w:rPr>
        <w:t>Instead of a binary “drift / no drift” (terraform plan, AWS Config, Thiyagarajan et al.), each change is converted into nine security features (public exposure, encryption change, privilege change, port exposure, sensitivity, magnitude, frequency, resource type, attribute) and classified into four risk levels.</w:t>
      </w:r>
    </w:p>
    <w:p>
      <w:pPr>
        <w:pStyle w:val="ListBullet"/>
      </w:pPr>
      <w:r>
        <w:rPr>
          <w:b/>
        </w:rPr>
        <w:t xml:space="preserve">Better explainability. </w:t>
      </w:r>
      <w:r>
        <w:rPr>
          <w:b w:val="0"/>
        </w:rPr>
        <w:t>SHAP TreeExplainer gives exact (additivity error ≈ 1e-16) global and per-finding explanations, answering the gap raised by the XAI surveys of Rjoub et al. and Mohale &amp; Obagbuwa.</w:t>
      </w:r>
    </w:p>
    <w:p>
      <w:pPr>
        <w:pStyle w:val="ListBullet"/>
      </w:pPr>
      <w:r>
        <w:rPr>
          <w:b/>
        </w:rPr>
        <w:t xml:space="preserve">Better reliability – no guessing. </w:t>
      </w:r>
      <w:r>
        <w:rPr>
          <w:b w:val="0"/>
        </w:rPr>
        <w:t>Changes outside the model's knowledge base are labelled “Review” and escalated, rather than forced into a class – a direct response to the hallucination and false-positive problems of LLM-based approaches.</w:t>
      </w:r>
    </w:p>
    <w:p>
      <w:pPr>
        <w:pStyle w:val="ListBullet"/>
      </w:pPr>
      <w:r>
        <w:rPr>
          <w:b/>
        </w:rPr>
        <w:t xml:space="preserve">Better AWS integration and automation. </w:t>
      </w:r>
      <w:r>
        <w:rPr>
          <w:b w:val="0"/>
        </w:rPr>
        <w:t>A fully serverless pipeline – EventBridge → Lambda → DynamoDB / SNS / CloudWatch, with API Gateway + Cognito for access – deployed by one Terraform command, with opt-in auto-remediation limited to two deterministic fixes (re-enable S3 public-access block; revoke 0.0.0.0/0 on SSH/RDP).</w:t>
      </w:r>
    </w:p>
    <w:p>
      <w:pPr>
        <w:pStyle w:val="ListBullet"/>
      </w:pPr>
      <w:r>
        <w:rPr>
          <w:b/>
        </w:rPr>
        <w:t xml:space="preserve">Better cost and scalability. </w:t>
      </w:r>
      <w:r>
        <w:rPr>
          <w:b w:val="0"/>
        </w:rPr>
        <w:t>The 200-tree Random Forest is exported to a 210 KB JSON file and evaluated in pure Python, giving bit-identical predictions to scikit-learn on all 711 records with no ML libraries in Lambda. The whole stack runs within the free tier and scales by simply adding resources to the desired-state list.</w:t>
      </w:r>
    </w:p>
    <w:p>
      <w:pPr>
        <w:pStyle w:val="ListBullet"/>
      </w:pPr>
      <w:r>
        <w:rPr>
          <w:b/>
        </w:rPr>
        <w:t xml:space="preserve">Better security of the tool itself. </w:t>
      </w:r>
      <w:r>
        <w:rPr>
          <w:b w:val="0"/>
        </w:rPr>
        <w:t>Each Lambda has its own least-privilege IAM role; collection is read-only; write permissions for remediation exist only when the feature is switched on and are scoped to the specific resources.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