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73550" w14:textId="77777777" w:rsidR="00543F2B" w:rsidRDefault="00543F2B" w:rsidP="00543F2B">
      <w:pPr>
        <w:spacing w:after="240"/>
      </w:pPr>
      <w:r>
        <w:rPr>
          <w:rFonts w:ascii="Calibri" w:hAnsi="Calibri"/>
          <w:b/>
          <w:color w:val="1F4E78"/>
          <w:sz w:val="36"/>
        </w:rPr>
        <w:t>15-Paper Literature Survey Table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"/>
        <w:gridCol w:w="1872"/>
        <w:gridCol w:w="648"/>
        <w:gridCol w:w="1368"/>
        <w:gridCol w:w="1584"/>
        <w:gridCol w:w="1224"/>
        <w:gridCol w:w="2016"/>
        <w:gridCol w:w="1728"/>
        <w:gridCol w:w="1728"/>
        <w:gridCol w:w="1728"/>
      </w:tblGrid>
      <w:tr w:rsidR="00543F2B" w14:paraId="6CA3A911" w14:textId="77777777" w:rsidTr="006E58EB">
        <w:trPr>
          <w:cantSplit/>
          <w:tblHeader/>
          <w:jc w:val="center"/>
        </w:trPr>
        <w:tc>
          <w:tcPr>
            <w:tcW w:w="504" w:type="dxa"/>
            <w:shd w:val="clear" w:color="auto" w:fill="1F4E78"/>
          </w:tcPr>
          <w:p w14:paraId="0C54DE5C" w14:textId="77777777" w:rsidR="00543F2B" w:rsidRDefault="00543F2B" w:rsidP="006E58E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No.</w:t>
            </w:r>
          </w:p>
        </w:tc>
        <w:tc>
          <w:tcPr>
            <w:tcW w:w="1872" w:type="dxa"/>
            <w:shd w:val="clear" w:color="auto" w:fill="1F4E78"/>
          </w:tcPr>
          <w:p w14:paraId="2EE32DEA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Paper</w:t>
            </w:r>
          </w:p>
        </w:tc>
        <w:tc>
          <w:tcPr>
            <w:tcW w:w="648" w:type="dxa"/>
            <w:shd w:val="clear" w:color="auto" w:fill="1F4E78"/>
          </w:tcPr>
          <w:p w14:paraId="5C653037" w14:textId="77777777" w:rsidR="00543F2B" w:rsidRDefault="00543F2B" w:rsidP="006E58E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w="1368" w:type="dxa"/>
            <w:shd w:val="clear" w:color="auto" w:fill="1F4E78"/>
          </w:tcPr>
          <w:p w14:paraId="30F78F63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Publisher/Journal</w:t>
            </w:r>
          </w:p>
        </w:tc>
        <w:tc>
          <w:tcPr>
            <w:tcW w:w="1584" w:type="dxa"/>
            <w:shd w:val="clear" w:color="auto" w:fill="1F4E78"/>
          </w:tcPr>
          <w:p w14:paraId="2444A7E7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w="1224" w:type="dxa"/>
            <w:shd w:val="clear" w:color="auto" w:fill="1F4E78"/>
          </w:tcPr>
          <w:p w14:paraId="78EA01B6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Dataset</w:t>
            </w:r>
          </w:p>
        </w:tc>
        <w:tc>
          <w:tcPr>
            <w:tcW w:w="2016" w:type="dxa"/>
            <w:shd w:val="clear" w:color="auto" w:fill="1F4E78"/>
          </w:tcPr>
          <w:p w14:paraId="4450972E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Key Findings</w:t>
            </w:r>
          </w:p>
        </w:tc>
        <w:tc>
          <w:tcPr>
            <w:tcW w:w="1728" w:type="dxa"/>
            <w:shd w:val="clear" w:color="auto" w:fill="1F4E78"/>
          </w:tcPr>
          <w:p w14:paraId="62C4A77C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Advantages</w:t>
            </w:r>
          </w:p>
        </w:tc>
        <w:tc>
          <w:tcPr>
            <w:tcW w:w="1728" w:type="dxa"/>
            <w:shd w:val="clear" w:color="auto" w:fill="1F4E78"/>
          </w:tcPr>
          <w:p w14:paraId="2D5A2FD7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Limitations</w:t>
            </w:r>
          </w:p>
        </w:tc>
        <w:tc>
          <w:tcPr>
            <w:tcW w:w="1728" w:type="dxa"/>
            <w:shd w:val="clear" w:color="auto" w:fill="1F4E78"/>
          </w:tcPr>
          <w:p w14:paraId="77EA253E" w14:textId="77777777" w:rsidR="00543F2B" w:rsidRDefault="00543F2B" w:rsidP="006E58EB">
            <w:r>
              <w:rPr>
                <w:rFonts w:ascii="Calibri" w:hAnsi="Calibri"/>
                <w:b/>
                <w:color w:val="FFFFFF"/>
                <w:sz w:val="19"/>
              </w:rPr>
              <w:t>Relevance</w:t>
            </w:r>
          </w:p>
        </w:tc>
      </w:tr>
      <w:tr w:rsidR="00543F2B" w14:paraId="3A06A6B4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5D99E098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1</w:t>
            </w:r>
          </w:p>
        </w:tc>
        <w:tc>
          <w:tcPr>
            <w:tcW w:w="1872" w:type="dxa"/>
            <w:shd w:val="clear" w:color="auto" w:fill="FFFFFF"/>
          </w:tcPr>
          <w:p w14:paraId="734A04F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Pahl, Sezen, Hofer — "Artificial Intelligence for Infrastructure-as-Code—A Systematic Literature Review"</w:t>
            </w:r>
          </w:p>
        </w:tc>
        <w:tc>
          <w:tcPr>
            <w:tcW w:w="648" w:type="dxa"/>
            <w:shd w:val="clear" w:color="auto" w:fill="FFFFFF"/>
          </w:tcPr>
          <w:p w14:paraId="79ACE765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2026</w:t>
            </w:r>
          </w:p>
        </w:tc>
        <w:tc>
          <w:tcPr>
            <w:tcW w:w="1368" w:type="dxa"/>
            <w:shd w:val="clear" w:color="auto" w:fill="FFFFFF"/>
          </w:tcPr>
          <w:p w14:paraId="7935F71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MDPI Electronics, 15(4):755</w:t>
            </w:r>
          </w:p>
        </w:tc>
        <w:tc>
          <w:tcPr>
            <w:tcW w:w="1584" w:type="dxa"/>
            <w:shd w:val="clear" w:color="auto" w:fill="FFFFFF"/>
          </w:tcPr>
          <w:p w14:paraId="26560341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PRISMA-based systematic literature review (44 studies, Scopus/SpringerLink/Google Scholar/IEEE Xplore)</w:t>
            </w:r>
          </w:p>
        </w:tc>
        <w:tc>
          <w:tcPr>
            <w:tcW w:w="1224" w:type="dxa"/>
            <w:shd w:val="clear" w:color="auto" w:fill="FFFFFF"/>
          </w:tcPr>
          <w:p w14:paraId="4CC7A7D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N/A (review)</w:t>
            </w:r>
          </w:p>
        </w:tc>
        <w:tc>
          <w:tcPr>
            <w:tcW w:w="2016" w:type="dxa"/>
            <w:shd w:val="clear" w:color="auto" w:fill="FFFFFF"/>
          </w:tcPr>
          <w:p w14:paraId="227F753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 dominates IaC analysis activities (defect/anti-pattern detection); LLMs dominate generation; drift detection and "Operate/Monitor/Self-Heal" phase is explicitly named as under-researched</w:t>
            </w:r>
          </w:p>
        </w:tc>
        <w:tc>
          <w:tcPr>
            <w:tcW w:w="1728" w:type="dxa"/>
            <w:shd w:val="clear" w:color="auto" w:fill="FFFFFF"/>
          </w:tcPr>
          <w:p w14:paraId="0EBFC39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Comprehensive, current (through Oct 2025), phase-specific taxonomy</w:t>
            </w:r>
          </w:p>
        </w:tc>
        <w:tc>
          <w:tcPr>
            <w:tcW w:w="1728" w:type="dxa"/>
            <w:shd w:val="clear" w:color="auto" w:fill="FFFFFF"/>
          </w:tcPr>
          <w:p w14:paraId="6DBEB20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Confirms shallow coverage of runtime/operational drift; not a technical solution itself</w:t>
            </w:r>
          </w:p>
        </w:tc>
        <w:tc>
          <w:tcPr>
            <w:tcW w:w="1728" w:type="dxa"/>
            <w:shd w:val="clear" w:color="auto" w:fill="FFFFFF"/>
          </w:tcPr>
          <w:p w14:paraId="47C05EE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Directly evidences the research gap: explicitly flags drift detection + self-healing as the least mature IaC lifecycle phase</w:t>
            </w:r>
          </w:p>
        </w:tc>
      </w:tr>
      <w:tr w:rsidR="00543F2B" w14:paraId="62E02BC3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2C3623DB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2</w:t>
            </w:r>
          </w:p>
        </w:tc>
        <w:tc>
          <w:tcPr>
            <w:tcW w:w="1872" w:type="dxa"/>
            <w:shd w:val="clear" w:color="auto" w:fill="F2F5F8"/>
          </w:tcPr>
          <w:p w14:paraId="340A419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Hassan, Salvador, Santu, Rahman — "State Reconciliation Defects in Infrastructure as Code"</w:t>
            </w:r>
          </w:p>
        </w:tc>
        <w:tc>
          <w:tcPr>
            <w:tcW w:w="648" w:type="dxa"/>
            <w:shd w:val="clear" w:color="auto" w:fill="F2F5F8"/>
          </w:tcPr>
          <w:p w14:paraId="0882AD60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2F5F8"/>
          </w:tcPr>
          <w:p w14:paraId="1841F0D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Proc. ACM on Software Engineering, Vol. 1 (FSE), Article 83</w:t>
            </w:r>
          </w:p>
        </w:tc>
        <w:tc>
          <w:tcPr>
            <w:tcW w:w="1584" w:type="dxa"/>
            <w:shd w:val="clear" w:color="auto" w:fill="F2F5F8"/>
          </w:tcPr>
          <w:p w14:paraId="34C19EC8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Qualitative/empirical study of 5,110 defects mined from Ansible; LLM-based validation heuristics</w:t>
            </w:r>
          </w:p>
        </w:tc>
        <w:tc>
          <w:tcPr>
            <w:tcW w:w="1224" w:type="dxa"/>
            <w:shd w:val="clear" w:color="auto" w:fill="F2F5F8"/>
          </w:tcPr>
          <w:p w14:paraId="02F5325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5,110 state reconciliation defects (OSS Ansible)</w:t>
            </w:r>
          </w:p>
        </w:tc>
        <w:tc>
          <w:tcPr>
            <w:tcW w:w="2016" w:type="dxa"/>
            <w:shd w:val="clear" w:color="auto" w:fill="F2F5F8"/>
          </w:tcPr>
          <w:p w14:paraId="13997C6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Identifies 8 categories of state-reconciliation (drift-adjacent) defects; 3 previously unreported</w:t>
            </w:r>
          </w:p>
        </w:tc>
        <w:tc>
          <w:tcPr>
            <w:tcW w:w="1728" w:type="dxa"/>
            <w:shd w:val="clear" w:color="auto" w:fill="F2F5F8"/>
          </w:tcPr>
          <w:p w14:paraId="0246C09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Large-scale empirical grounding of "drift-like" defects; taxonomy usable for detection design</w:t>
            </w:r>
          </w:p>
        </w:tc>
        <w:tc>
          <w:tcPr>
            <w:tcW w:w="1728" w:type="dxa"/>
            <w:shd w:val="clear" w:color="auto" w:fill="F2F5F8"/>
          </w:tcPr>
          <w:p w14:paraId="6F55F47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No ML risk scoring; no severity/criticality classification; no XAI; not AWS-specific</w:t>
            </w:r>
          </w:p>
        </w:tc>
        <w:tc>
          <w:tcPr>
            <w:tcW w:w="1728" w:type="dxa"/>
            <w:shd w:val="clear" w:color="auto" w:fill="F2F5F8"/>
          </w:tcPr>
          <w:p w14:paraId="4F90036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Core theme 1 (drift detection) — provides an empirical defect taxonomy this project's risk classifier can draw features from</w:t>
            </w:r>
          </w:p>
        </w:tc>
      </w:tr>
      <w:tr w:rsidR="00543F2B" w14:paraId="4EC0A67B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4CFBB666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3</w:t>
            </w:r>
          </w:p>
        </w:tc>
        <w:tc>
          <w:tcPr>
            <w:tcW w:w="1872" w:type="dxa"/>
            <w:shd w:val="clear" w:color="auto" w:fill="FFFFFF"/>
          </w:tcPr>
          <w:p w14:paraId="6F9149B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Rahman, Parnin — "Detecting and Characterizing Propagation of Security Weaknesses in Puppet-Based Infrastructure Management"</w:t>
            </w:r>
          </w:p>
        </w:tc>
        <w:tc>
          <w:tcPr>
            <w:tcW w:w="648" w:type="dxa"/>
            <w:shd w:val="clear" w:color="auto" w:fill="FFFFFF"/>
          </w:tcPr>
          <w:p w14:paraId="33C6939B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2023</w:t>
            </w:r>
          </w:p>
        </w:tc>
        <w:tc>
          <w:tcPr>
            <w:tcW w:w="1368" w:type="dxa"/>
            <w:shd w:val="clear" w:color="auto" w:fill="FFFFFF"/>
          </w:tcPr>
          <w:p w14:paraId="641960C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IEEE Transactions on Software Engineering</w:t>
            </w:r>
          </w:p>
        </w:tc>
        <w:tc>
          <w:tcPr>
            <w:tcW w:w="1584" w:type="dxa"/>
            <w:shd w:val="clear" w:color="auto" w:fill="FFFFFF"/>
          </w:tcPr>
          <w:p w14:paraId="3CA2600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TaintPup: taint-tracking static analysis on 17,629 Puppet manifests</w:t>
            </w:r>
          </w:p>
        </w:tc>
        <w:tc>
          <w:tcPr>
            <w:tcW w:w="1224" w:type="dxa"/>
            <w:shd w:val="clear" w:color="auto" w:fill="FFFFFF"/>
          </w:tcPr>
          <w:p w14:paraId="3C49B23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17,629 Puppet manifests</w:t>
            </w:r>
          </w:p>
        </w:tc>
        <w:tc>
          <w:tcPr>
            <w:tcW w:w="2016" w:type="dxa"/>
            <w:shd w:val="clear" w:color="auto" w:fill="FFFFFF"/>
          </w:tcPr>
          <w:p w14:paraId="72460BF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Detects propagation of security weaknesses through IaC scripts with higher precision/F-measure than baseline static tool</w:t>
            </w:r>
          </w:p>
        </w:tc>
        <w:tc>
          <w:tcPr>
            <w:tcW w:w="1728" w:type="dxa"/>
            <w:shd w:val="clear" w:color="auto" w:fill="FFFFFF"/>
          </w:tcPr>
          <w:p w14:paraId="044600D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Strong empirical validation; propagation-aware (not just single-file)</w:t>
            </w:r>
          </w:p>
        </w:tc>
        <w:tc>
          <w:tcPr>
            <w:tcW w:w="1728" w:type="dxa"/>
            <w:shd w:val="clear" w:color="auto" w:fill="FFFFFF"/>
          </w:tcPr>
          <w:p w14:paraId="0C9AE03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Static analysis only — no drift-vs-desired-state comparison, no ML, no XAI</w:t>
            </w:r>
          </w:p>
        </w:tc>
        <w:tc>
          <w:tcPr>
            <w:tcW w:w="1728" w:type="dxa"/>
            <w:shd w:val="clear" w:color="auto" w:fill="FFFFFF"/>
          </w:tcPr>
          <w:p w14:paraId="2C97987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2 (IaC security) — shows static detection is mature but disconnected from live-state drift or ML risk scoring</w:t>
            </w:r>
          </w:p>
        </w:tc>
      </w:tr>
      <w:tr w:rsidR="00543F2B" w14:paraId="4BF897C3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4FBF9EB0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4</w:t>
            </w:r>
          </w:p>
        </w:tc>
        <w:tc>
          <w:tcPr>
            <w:tcW w:w="1872" w:type="dxa"/>
            <w:shd w:val="clear" w:color="auto" w:fill="F2F5F8"/>
          </w:tcPr>
          <w:p w14:paraId="0537B64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Verdet, Hamdaqa, Silva, Khomh — "Assessing the adoption of security policies by developers in Terraform across different cloud providers"</w:t>
            </w:r>
          </w:p>
        </w:tc>
        <w:tc>
          <w:tcPr>
            <w:tcW w:w="648" w:type="dxa"/>
            <w:shd w:val="clear" w:color="auto" w:fill="F2F5F8"/>
          </w:tcPr>
          <w:p w14:paraId="4557C02B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2025</w:t>
            </w:r>
          </w:p>
        </w:tc>
        <w:tc>
          <w:tcPr>
            <w:tcW w:w="1368" w:type="dxa"/>
            <w:shd w:val="clear" w:color="auto" w:fill="F2F5F8"/>
          </w:tcPr>
          <w:p w14:paraId="52740251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Empirical Software Engineering (Springer), 30:3</w:t>
            </w:r>
          </w:p>
        </w:tc>
        <w:tc>
          <w:tcPr>
            <w:tcW w:w="1584" w:type="dxa"/>
            <w:shd w:val="clear" w:color="auto" w:fill="F2F5F8"/>
          </w:tcPr>
          <w:p w14:paraId="4789CF51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Empirical/mining study of open-source Terraform repositories across AWS/Azure/GCP</w:t>
            </w:r>
          </w:p>
        </w:tc>
        <w:tc>
          <w:tcPr>
            <w:tcW w:w="1224" w:type="dxa"/>
            <w:shd w:val="clear" w:color="auto" w:fill="F2F5F8"/>
          </w:tcPr>
          <w:p w14:paraId="0CE333D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Mined Terraform repositories</w:t>
            </w:r>
          </w:p>
        </w:tc>
        <w:tc>
          <w:tcPr>
            <w:tcW w:w="2016" w:type="dxa"/>
            <w:shd w:val="clear" w:color="auto" w:fill="F2F5F8"/>
          </w:tcPr>
          <w:p w14:paraId="03496C2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Characterizes how/where security policy adoption (or non-adoption) occurs in Terraform code</w:t>
            </w:r>
          </w:p>
        </w:tc>
        <w:tc>
          <w:tcPr>
            <w:tcW w:w="1728" w:type="dxa"/>
            <w:shd w:val="clear" w:color="auto" w:fill="F2F5F8"/>
          </w:tcPr>
          <w:p w14:paraId="32C7810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Cross-provider comparison; real-world Terraform corpus</w:t>
            </w:r>
          </w:p>
        </w:tc>
        <w:tc>
          <w:tcPr>
            <w:tcW w:w="1728" w:type="dxa"/>
            <w:shd w:val="clear" w:color="auto" w:fill="F2F5F8"/>
          </w:tcPr>
          <w:p w14:paraId="2AAD56A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Studies authoring-time policy adoption, not runtime configuration drift</w:t>
            </w:r>
          </w:p>
        </w:tc>
        <w:tc>
          <w:tcPr>
            <w:tcW w:w="1728" w:type="dxa"/>
            <w:shd w:val="clear" w:color="auto" w:fill="F2F5F8"/>
          </w:tcPr>
          <w:p w14:paraId="56E28AE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3 (Terraform configuration analysis) — relevant for understanding "desired state" quality assumptions</w:t>
            </w:r>
          </w:p>
        </w:tc>
      </w:tr>
      <w:tr w:rsidR="00543F2B" w14:paraId="53FFA3EE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1AE302BC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lastRenderedPageBreak/>
              <w:t>5</w:t>
            </w:r>
          </w:p>
        </w:tc>
        <w:tc>
          <w:tcPr>
            <w:tcW w:w="1872" w:type="dxa"/>
            <w:shd w:val="clear" w:color="auto" w:fill="FFFFFF"/>
          </w:tcPr>
          <w:p w14:paraId="11ECB98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Rahman, Shamim, Bose, Pandita — "Security Misconfigurations in Open Source Kubernetes Manifests: An Empirical Study"</w:t>
            </w:r>
          </w:p>
        </w:tc>
        <w:tc>
          <w:tcPr>
            <w:tcW w:w="648" w:type="dxa"/>
            <w:shd w:val="clear" w:color="auto" w:fill="FFFFFF"/>
          </w:tcPr>
          <w:p w14:paraId="4196DBC5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2023</w:t>
            </w:r>
          </w:p>
        </w:tc>
        <w:tc>
          <w:tcPr>
            <w:tcW w:w="1368" w:type="dxa"/>
            <w:shd w:val="clear" w:color="auto" w:fill="FFFFFF"/>
          </w:tcPr>
          <w:p w14:paraId="5379D8F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ACM Transactions on Software Engineering and Methodology (TOSEM), 32(4), Art. 99</w:t>
            </w:r>
          </w:p>
        </w:tc>
        <w:tc>
          <w:tcPr>
            <w:tcW w:w="1584" w:type="dxa"/>
            <w:shd w:val="clear" w:color="auto" w:fill="FFFFFF"/>
          </w:tcPr>
          <w:p w14:paraId="0485C27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Empirical study, 2,039 manifests from 92 repos</w:t>
            </w:r>
          </w:p>
        </w:tc>
        <w:tc>
          <w:tcPr>
            <w:tcW w:w="1224" w:type="dxa"/>
            <w:shd w:val="clear" w:color="auto" w:fill="FFFFFF"/>
          </w:tcPr>
          <w:p w14:paraId="1A8137C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2,039 Kubernetes manifests</w:t>
            </w:r>
          </w:p>
        </w:tc>
        <w:tc>
          <w:tcPr>
            <w:tcW w:w="2016" w:type="dxa"/>
            <w:shd w:val="clear" w:color="auto" w:fill="FFFFFF"/>
          </w:tcPr>
          <w:p w14:paraId="6A4689A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Characterizes categories/frequency of security misconfigurations in container orchestration manifests</w:t>
            </w:r>
          </w:p>
        </w:tc>
        <w:tc>
          <w:tcPr>
            <w:tcW w:w="1728" w:type="dxa"/>
            <w:shd w:val="clear" w:color="auto" w:fill="FFFFFF"/>
          </w:tcPr>
          <w:p w14:paraId="2F1B2E1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Large empirical base; practical misconfiguration taxonomy</w:t>
            </w:r>
          </w:p>
        </w:tc>
        <w:tc>
          <w:tcPr>
            <w:tcW w:w="1728" w:type="dxa"/>
            <w:shd w:val="clear" w:color="auto" w:fill="FFFFFF"/>
          </w:tcPr>
          <w:p w14:paraId="40C34C0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Kubernetes-specific, not AWS Config/Terraform; no severity ML model; no XAI</w:t>
            </w:r>
          </w:p>
        </w:tc>
        <w:tc>
          <w:tcPr>
            <w:tcW w:w="1728" w:type="dxa"/>
            <w:shd w:val="clear" w:color="auto" w:fill="FFFFFF"/>
          </w:tcPr>
          <w:p w14:paraId="1F49243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2/7 — misconfiguration taxonomy transferable to AWS resource misconfig classification</w:t>
            </w:r>
          </w:p>
        </w:tc>
      </w:tr>
      <w:tr w:rsidR="00543F2B" w14:paraId="4B06CFE1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1140B9A8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6</w:t>
            </w:r>
          </w:p>
        </w:tc>
        <w:tc>
          <w:tcPr>
            <w:tcW w:w="1872" w:type="dxa"/>
            <w:shd w:val="clear" w:color="auto" w:fill="F2F5F8"/>
          </w:tcPr>
          <w:p w14:paraId="7B1F0D7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Begoug, Chouchen, Ouni — "TerraMetrics: An Open Source Tool for Infrastructure-as-Code (IaC) Quality Metrics in Terraform"</w:t>
            </w:r>
          </w:p>
        </w:tc>
        <w:tc>
          <w:tcPr>
            <w:tcW w:w="648" w:type="dxa"/>
            <w:shd w:val="clear" w:color="auto" w:fill="F2F5F8"/>
          </w:tcPr>
          <w:p w14:paraId="71555BBC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2F5F8"/>
          </w:tcPr>
          <w:p w14:paraId="72AD27B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Proc. 32nd IEEE/ACM Intl. Conf. on Program Comprehension (ICPC)</w:t>
            </w:r>
          </w:p>
        </w:tc>
        <w:tc>
          <w:tcPr>
            <w:tcW w:w="1584" w:type="dxa"/>
            <w:shd w:val="clear" w:color="auto" w:fill="F2F5F8"/>
          </w:tcPr>
          <w:p w14:paraId="77D9916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Tool-building + empirical validation; software quality metrics for Terraform</w:t>
            </w:r>
          </w:p>
        </w:tc>
        <w:tc>
          <w:tcPr>
            <w:tcW w:w="1224" w:type="dxa"/>
            <w:shd w:val="clear" w:color="auto" w:fill="F2F5F8"/>
          </w:tcPr>
          <w:p w14:paraId="70AB712F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Open-source Terraform repos</w:t>
            </w:r>
          </w:p>
        </w:tc>
        <w:tc>
          <w:tcPr>
            <w:tcW w:w="2016" w:type="dxa"/>
            <w:shd w:val="clear" w:color="auto" w:fill="F2F5F8"/>
          </w:tcPr>
          <w:p w14:paraId="7C21F96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Provides quantifiable IaC quality/smell metrics for Terraform scripts</w:t>
            </w:r>
          </w:p>
        </w:tc>
        <w:tc>
          <w:tcPr>
            <w:tcW w:w="1728" w:type="dxa"/>
            <w:shd w:val="clear" w:color="auto" w:fill="F2F5F8"/>
          </w:tcPr>
          <w:p w14:paraId="3E69E2D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Open-source, extensible tool; Terraform-specific</w:t>
            </w:r>
          </w:p>
        </w:tc>
        <w:tc>
          <w:tcPr>
            <w:tcW w:w="1728" w:type="dxa"/>
            <w:shd w:val="clear" w:color="auto" w:fill="F2F5F8"/>
          </w:tcPr>
          <w:p w14:paraId="7F2F7C9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Metrics describe code quality, not live drift; no ML risk classification</w:t>
            </w:r>
          </w:p>
        </w:tc>
        <w:tc>
          <w:tcPr>
            <w:tcW w:w="1728" w:type="dxa"/>
            <w:shd w:val="clear" w:color="auto" w:fill="F2F5F8"/>
          </w:tcPr>
          <w:p w14:paraId="5BCC633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3 (Terraform configuration analysis)</w:t>
            </w:r>
          </w:p>
        </w:tc>
      </w:tr>
      <w:tr w:rsidR="00543F2B" w14:paraId="2EBE8AE7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5F61CC98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7</w:t>
            </w:r>
          </w:p>
        </w:tc>
        <w:tc>
          <w:tcPr>
            <w:tcW w:w="1872" w:type="dxa"/>
            <w:shd w:val="clear" w:color="auto" w:fill="FFFFFF"/>
          </w:tcPr>
          <w:p w14:paraId="45F2C59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Begoug, Chouchen, Ouni, Alomar, Mkaouer — "Fine-Grained Just-In-Time Defect Prediction at the Block Level in Infrastructure-as-Code (IaC)"</w:t>
            </w:r>
          </w:p>
        </w:tc>
        <w:tc>
          <w:tcPr>
            <w:tcW w:w="648" w:type="dxa"/>
            <w:shd w:val="clear" w:color="auto" w:fill="FFFFFF"/>
          </w:tcPr>
          <w:p w14:paraId="0D936B62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FFFFF"/>
          </w:tcPr>
          <w:p w14:paraId="6B8B382F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2024 IEEE/ACM 21st Intl. Conf. on Mining Software Repositories (MSR)</w:t>
            </w:r>
          </w:p>
        </w:tc>
        <w:tc>
          <w:tcPr>
            <w:tcW w:w="1584" w:type="dxa"/>
            <w:shd w:val="clear" w:color="auto" w:fill="FFFFFF"/>
          </w:tcPr>
          <w:p w14:paraId="56F75C02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Supervised ML classifiers (block-level JIT defect prediction)</w:t>
            </w:r>
          </w:p>
        </w:tc>
        <w:tc>
          <w:tcPr>
            <w:tcW w:w="1224" w:type="dxa"/>
            <w:shd w:val="clear" w:color="auto" w:fill="FFFFFF"/>
          </w:tcPr>
          <w:p w14:paraId="6A919928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Mined IaC commit history</w:t>
            </w:r>
          </w:p>
        </w:tc>
        <w:tc>
          <w:tcPr>
            <w:tcW w:w="2016" w:type="dxa"/>
            <w:shd w:val="clear" w:color="auto" w:fill="FFFFFF"/>
          </w:tcPr>
          <w:p w14:paraId="6EAD8AF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 models predict defect-prone IaC code blocks with useful precision at commit time</w:t>
            </w:r>
          </w:p>
        </w:tc>
        <w:tc>
          <w:tcPr>
            <w:tcW w:w="1728" w:type="dxa"/>
            <w:shd w:val="clear" w:color="auto" w:fill="FFFFFF"/>
          </w:tcPr>
          <w:p w14:paraId="12B9141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Fine-grained (block-level, not file-level); ML-based, reproducible</w:t>
            </w:r>
          </w:p>
        </w:tc>
        <w:tc>
          <w:tcPr>
            <w:tcW w:w="1728" w:type="dxa"/>
            <w:shd w:val="clear" w:color="auto" w:fill="FFFFFF"/>
          </w:tcPr>
          <w:p w14:paraId="6144F25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Predicts authoring-time defects, not post-deployment drift; no explainability layer; not AWS-specific</w:t>
            </w:r>
          </w:p>
        </w:tc>
        <w:tc>
          <w:tcPr>
            <w:tcW w:w="1728" w:type="dxa"/>
            <w:shd w:val="clear" w:color="auto" w:fill="FFFFFF"/>
          </w:tcPr>
          <w:p w14:paraId="2D12366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5 (ML risk classification) — closest prior work applying supervised ML directly to IaC risk, but pre-deployment only</w:t>
            </w:r>
          </w:p>
        </w:tc>
      </w:tr>
      <w:tr w:rsidR="00543F2B" w14:paraId="1841C5DE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5EE38633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8</w:t>
            </w:r>
          </w:p>
        </w:tc>
        <w:tc>
          <w:tcPr>
            <w:tcW w:w="1872" w:type="dxa"/>
            <w:shd w:val="clear" w:color="auto" w:fill="F2F5F8"/>
          </w:tcPr>
          <w:p w14:paraId="59A03AE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Dalla Palma, Di Nucci, Palomba, Tamburri — "Within-Project Defect Prediction of Infrastructure-as-Code Using Product and Process Metrics"</w:t>
            </w:r>
          </w:p>
        </w:tc>
        <w:tc>
          <w:tcPr>
            <w:tcW w:w="648" w:type="dxa"/>
            <w:shd w:val="clear" w:color="auto" w:fill="F2F5F8"/>
          </w:tcPr>
          <w:p w14:paraId="73008ABA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2022</w:t>
            </w:r>
          </w:p>
        </w:tc>
        <w:tc>
          <w:tcPr>
            <w:tcW w:w="1368" w:type="dxa"/>
            <w:shd w:val="clear" w:color="auto" w:fill="F2F5F8"/>
          </w:tcPr>
          <w:p w14:paraId="76D7077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IEEE Transactions on Software Engineering</w:t>
            </w:r>
          </w:p>
        </w:tc>
        <w:tc>
          <w:tcPr>
            <w:tcW w:w="1584" w:type="dxa"/>
            <w:shd w:val="clear" w:color="auto" w:fill="F2F5F8"/>
          </w:tcPr>
          <w:p w14:paraId="324650D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 classifiers trained on IaC product/process metrics</w:t>
            </w:r>
          </w:p>
        </w:tc>
        <w:tc>
          <w:tcPr>
            <w:tcW w:w="1224" w:type="dxa"/>
            <w:shd w:val="clear" w:color="auto" w:fill="F2F5F8"/>
          </w:tcPr>
          <w:p w14:paraId="4E986EF8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Open-source IaC repositories</w:t>
            </w:r>
          </w:p>
        </w:tc>
        <w:tc>
          <w:tcPr>
            <w:tcW w:w="2016" w:type="dxa"/>
            <w:shd w:val="clear" w:color="auto" w:fill="F2F5F8"/>
          </w:tcPr>
          <w:p w14:paraId="48E60DA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Demonstrates feasibility of predicting defective IaC scripts using standard ML</w:t>
            </w:r>
          </w:p>
        </w:tc>
        <w:tc>
          <w:tcPr>
            <w:tcW w:w="1728" w:type="dxa"/>
            <w:shd w:val="clear" w:color="auto" w:fill="F2F5F8"/>
          </w:tcPr>
          <w:p w14:paraId="3CA6157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Foundational ML-for-IaC precedent; widely cited in 2023–2026 IaC literature</w:t>
            </w:r>
          </w:p>
        </w:tc>
        <w:tc>
          <w:tcPr>
            <w:tcW w:w="1728" w:type="dxa"/>
            <w:shd w:val="clear" w:color="auto" w:fill="F2F5F8"/>
          </w:tcPr>
          <w:p w14:paraId="4A9305C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Slightly outside 2023–2026 preferred window; static/pre-deployment; no XAI, no drift/runtime focus</w:t>
            </w:r>
          </w:p>
        </w:tc>
        <w:tc>
          <w:tcPr>
            <w:tcW w:w="1728" w:type="dxa"/>
            <w:shd w:val="clear" w:color="auto" w:fill="F2F5F8"/>
          </w:tcPr>
          <w:p w14:paraId="05513A9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5 — foundational precedent establishing ML viability on IaC artifacts</w:t>
            </w:r>
          </w:p>
        </w:tc>
      </w:tr>
      <w:tr w:rsidR="00543F2B" w14:paraId="4DBE5C27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2E5097A9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9</w:t>
            </w:r>
          </w:p>
        </w:tc>
        <w:tc>
          <w:tcPr>
            <w:tcW w:w="1872" w:type="dxa"/>
            <w:shd w:val="clear" w:color="auto" w:fill="FFFFFF"/>
          </w:tcPr>
          <w:p w14:paraId="64D7093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Abdallah, Alkaabi, Alameri, Rafique, Musa, Murugan — "Cloud Network Anomaly Detection Using Machine and Deep Learning Techniques: Recent Research Advancements"</w:t>
            </w:r>
          </w:p>
        </w:tc>
        <w:tc>
          <w:tcPr>
            <w:tcW w:w="648" w:type="dxa"/>
            <w:shd w:val="clear" w:color="auto" w:fill="FFFFFF"/>
          </w:tcPr>
          <w:p w14:paraId="288915CA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FFFFF"/>
          </w:tcPr>
          <w:p w14:paraId="2E15B09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IEEE Access, Vol. 12, pp. 56749–56773</w:t>
            </w:r>
          </w:p>
        </w:tc>
        <w:tc>
          <w:tcPr>
            <w:tcW w:w="1584" w:type="dxa"/>
            <w:shd w:val="clear" w:color="auto" w:fill="FFFFFF"/>
          </w:tcPr>
          <w:p w14:paraId="1123576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Survey/synthesis of ML &amp; DL anomaly-detection techniques for cloud networks</w:t>
            </w:r>
          </w:p>
        </w:tc>
        <w:tc>
          <w:tcPr>
            <w:tcW w:w="1224" w:type="dxa"/>
            <w:shd w:val="clear" w:color="auto" w:fill="FFFFFF"/>
          </w:tcPr>
          <w:p w14:paraId="13DD1B7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N/A (review of multiple datasets)</w:t>
            </w:r>
          </w:p>
        </w:tc>
        <w:tc>
          <w:tcPr>
            <w:tcW w:w="2016" w:type="dxa"/>
            <w:shd w:val="clear" w:color="auto" w:fill="FFFFFF"/>
          </w:tcPr>
          <w:p w14:paraId="24740A5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Surveys ML/DL techniques for cloud anomaly detection; notes real-time and adaptability challenges</w:t>
            </w:r>
          </w:p>
        </w:tc>
        <w:tc>
          <w:tcPr>
            <w:tcW w:w="1728" w:type="dxa"/>
            <w:shd w:val="clear" w:color="auto" w:fill="FFFFFF"/>
          </w:tcPr>
          <w:p w14:paraId="12BD581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Broad, current coverage of ML/DL applied to cloud anomaly detection</w:t>
            </w:r>
          </w:p>
        </w:tc>
        <w:tc>
          <w:tcPr>
            <w:tcW w:w="1728" w:type="dxa"/>
            <w:shd w:val="clear" w:color="auto" w:fill="FFFFFF"/>
          </w:tcPr>
          <w:p w14:paraId="04EA265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Network/traffic-anomaly focus, not configuration/infrastructure drift; no XAI emphasis</w:t>
            </w:r>
          </w:p>
        </w:tc>
        <w:tc>
          <w:tcPr>
            <w:tcW w:w="1728" w:type="dxa"/>
            <w:shd w:val="clear" w:color="auto" w:fill="FFFFFF"/>
          </w:tcPr>
          <w:p w14:paraId="25CD3D88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4 (cloud configuration anomaly detection) — adjacent domain (network vs. configuration anomalies)</w:t>
            </w:r>
          </w:p>
        </w:tc>
      </w:tr>
      <w:tr w:rsidR="00543F2B" w14:paraId="284D4501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1AE22487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lastRenderedPageBreak/>
              <w:t>10</w:t>
            </w:r>
          </w:p>
        </w:tc>
        <w:tc>
          <w:tcPr>
            <w:tcW w:w="1872" w:type="dxa"/>
            <w:shd w:val="clear" w:color="auto" w:fill="F2F5F8"/>
          </w:tcPr>
          <w:p w14:paraId="70A0192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Alzoubi, Mishra, Topcu — "Research trends in deep learning and machine learning for cloud computing security"</w:t>
            </w:r>
          </w:p>
        </w:tc>
        <w:tc>
          <w:tcPr>
            <w:tcW w:w="648" w:type="dxa"/>
            <w:shd w:val="clear" w:color="auto" w:fill="F2F5F8"/>
          </w:tcPr>
          <w:p w14:paraId="48F192EE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2F5F8"/>
          </w:tcPr>
          <w:p w14:paraId="769EA34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Artificial Intelligence Review (Springer), 57, 1–43</w:t>
            </w:r>
          </w:p>
        </w:tc>
        <w:tc>
          <w:tcPr>
            <w:tcW w:w="1584" w:type="dxa"/>
            <w:shd w:val="clear" w:color="auto" w:fill="F2F5F8"/>
          </w:tcPr>
          <w:p w14:paraId="3EEACD6F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Bibliometric + narrative review, Scopus database (4,051 publications through Dec 2023)</w:t>
            </w:r>
          </w:p>
        </w:tc>
        <w:tc>
          <w:tcPr>
            <w:tcW w:w="1224" w:type="dxa"/>
            <w:shd w:val="clear" w:color="auto" w:fill="F2F5F8"/>
          </w:tcPr>
          <w:p w14:paraId="50D7F1D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N/A (review)</w:t>
            </w:r>
          </w:p>
        </w:tc>
        <w:tc>
          <w:tcPr>
            <w:tcW w:w="2016" w:type="dxa"/>
            <w:shd w:val="clear" w:color="auto" w:fill="F2F5F8"/>
          </w:tcPr>
          <w:p w14:paraId="0766A3A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Identifies anomaly detection &amp; security automation as dominant ML/DL use cases; explicitly names explainability as an open challenge in cloud security ML</w:t>
            </w:r>
          </w:p>
        </w:tc>
        <w:tc>
          <w:tcPr>
            <w:tcW w:w="1728" w:type="dxa"/>
            <w:shd w:val="clear" w:color="auto" w:fill="F2F5F8"/>
          </w:tcPr>
          <w:p w14:paraId="079FD9A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Rigorous bibliometric methodology; large-scale evidence base</w:t>
            </w:r>
          </w:p>
        </w:tc>
        <w:tc>
          <w:tcPr>
            <w:tcW w:w="1728" w:type="dxa"/>
            <w:shd w:val="clear" w:color="auto" w:fill="F2F5F8"/>
          </w:tcPr>
          <w:p w14:paraId="1A6E0C8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Confirms gap rather than closing it; no technical drift-detection contribution</w:t>
            </w:r>
          </w:p>
        </w:tc>
        <w:tc>
          <w:tcPr>
            <w:tcW w:w="1728" w:type="dxa"/>
            <w:shd w:val="clear" w:color="auto" w:fill="F2F5F8"/>
          </w:tcPr>
          <w:p w14:paraId="0AE257C1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Cross-cutting — independently corroborates that XAI is an acknowledged gap in cloud-security ML research</w:t>
            </w:r>
          </w:p>
        </w:tc>
      </w:tr>
      <w:tr w:rsidR="00543F2B" w14:paraId="56063A2E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375D128D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11</w:t>
            </w:r>
          </w:p>
        </w:tc>
        <w:tc>
          <w:tcPr>
            <w:tcW w:w="1872" w:type="dxa"/>
            <w:shd w:val="clear" w:color="auto" w:fill="FFFFFF"/>
          </w:tcPr>
          <w:p w14:paraId="089D873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Ahmed, Jiangbin, Almogren, Khan, Sadiq, Altameem, Rehman — "Explainable AI-based innovative hybrid ensemble model for intrusion detection"</w:t>
            </w:r>
          </w:p>
        </w:tc>
        <w:tc>
          <w:tcPr>
            <w:tcW w:w="648" w:type="dxa"/>
            <w:shd w:val="clear" w:color="auto" w:fill="FFFFFF"/>
          </w:tcPr>
          <w:p w14:paraId="1E59E4BC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FFFFF"/>
          </w:tcPr>
          <w:p w14:paraId="79A8D54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Journal of Cloud Computing (Springer), 13(1):150</w:t>
            </w:r>
          </w:p>
        </w:tc>
        <w:tc>
          <w:tcPr>
            <w:tcW w:w="1584" w:type="dxa"/>
            <w:shd w:val="clear" w:color="auto" w:fill="FFFFFF"/>
          </w:tcPr>
          <w:p w14:paraId="5D0A6AC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Hybrid ensemble (Stacking + Bayesian Model Averaging + Conditional Ensemble) with SHAP and LIME</w:t>
            </w:r>
          </w:p>
        </w:tc>
        <w:tc>
          <w:tcPr>
            <w:tcW w:w="1224" w:type="dxa"/>
            <w:shd w:val="clear" w:color="auto" w:fill="FFFFFF"/>
          </w:tcPr>
          <w:p w14:paraId="73AFC68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CIC-IDS 2017</w:t>
            </w:r>
          </w:p>
        </w:tc>
        <w:tc>
          <w:tcPr>
            <w:tcW w:w="2016" w:type="dxa"/>
            <w:shd w:val="clear" w:color="auto" w:fill="FFFFFF"/>
          </w:tcPr>
          <w:p w14:paraId="396058F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97–98% accuracy; SHAP/LIME used to explain ensemble predictions in cloud-relevant IDS context</w:t>
            </w:r>
          </w:p>
        </w:tc>
        <w:tc>
          <w:tcPr>
            <w:tcW w:w="1728" w:type="dxa"/>
            <w:shd w:val="clear" w:color="auto" w:fill="FFFFFF"/>
          </w:tcPr>
          <w:p w14:paraId="4042352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Combines high accuracy with SHAP+LIME explainability; adaptive ensemble</w:t>
            </w:r>
          </w:p>
        </w:tc>
        <w:tc>
          <w:tcPr>
            <w:tcW w:w="1728" w:type="dxa"/>
            <w:shd w:val="clear" w:color="auto" w:fill="FFFFFF"/>
          </w:tcPr>
          <w:p w14:paraId="46FEEEB1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Domain is network intrusion detection, not infrastructure/configuration drift; not tied to IaC or AWS Config</w:t>
            </w:r>
          </w:p>
        </w:tc>
        <w:tc>
          <w:tcPr>
            <w:tcW w:w="1728" w:type="dxa"/>
            <w:shd w:val="clear" w:color="auto" w:fill="FFFFFF"/>
          </w:tcPr>
          <w:p w14:paraId="3D17D2F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8/9 (XAI for cloud security) — strongest direct precedent for pairing SHAP with a risk/severity classifier</w:t>
            </w:r>
          </w:p>
        </w:tc>
      </w:tr>
      <w:tr w:rsidR="00543F2B" w14:paraId="2D41AD64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47F2E3BB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12</w:t>
            </w:r>
          </w:p>
        </w:tc>
        <w:tc>
          <w:tcPr>
            <w:tcW w:w="1872" w:type="dxa"/>
            <w:shd w:val="clear" w:color="auto" w:fill="F2F5F8"/>
          </w:tcPr>
          <w:p w14:paraId="4C1761C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Mallampati, Seetha — "Enhancing Intrusion Detection with Explainable AI: A Transparent Approach to Network Security"</w:t>
            </w:r>
          </w:p>
        </w:tc>
        <w:tc>
          <w:tcPr>
            <w:tcW w:w="648" w:type="dxa"/>
            <w:shd w:val="clear" w:color="auto" w:fill="F2F5F8"/>
          </w:tcPr>
          <w:p w14:paraId="380F4897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2F5F8"/>
          </w:tcPr>
          <w:p w14:paraId="3D60AA4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Cybernetics and Information Technologies, 24(1), 98–117</w:t>
            </w:r>
          </w:p>
        </w:tc>
        <w:tc>
          <w:tcPr>
            <w:tcW w:w="1584" w:type="dxa"/>
            <w:shd w:val="clear" w:color="auto" w:fill="F2F5F8"/>
          </w:tcPr>
          <w:p w14:paraId="4070AB4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ML-based IDS + SHAP for post-hoc interpretability</w:t>
            </w:r>
          </w:p>
        </w:tc>
        <w:tc>
          <w:tcPr>
            <w:tcW w:w="1224" w:type="dxa"/>
            <w:shd w:val="clear" w:color="auto" w:fill="F2F5F8"/>
          </w:tcPr>
          <w:p w14:paraId="3D677B9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Network intrusion dataset (benchmark)</w:t>
            </w:r>
          </w:p>
        </w:tc>
        <w:tc>
          <w:tcPr>
            <w:tcW w:w="2016" w:type="dxa"/>
            <w:shd w:val="clear" w:color="auto" w:fill="F2F5F8"/>
          </w:tcPr>
          <w:p w14:paraId="45FD1D8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SHAP improves comprehension of IDS predictions; supports analyst trust</w:t>
            </w:r>
          </w:p>
        </w:tc>
        <w:tc>
          <w:tcPr>
            <w:tcW w:w="1728" w:type="dxa"/>
            <w:shd w:val="clear" w:color="auto" w:fill="F2F5F8"/>
          </w:tcPr>
          <w:p w14:paraId="1A63B84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Clear application of SHAP to a security classification task</w:t>
            </w:r>
          </w:p>
        </w:tc>
        <w:tc>
          <w:tcPr>
            <w:tcW w:w="1728" w:type="dxa"/>
            <w:shd w:val="clear" w:color="auto" w:fill="F2F5F8"/>
          </w:tcPr>
          <w:p w14:paraId="7EA1B157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Network-traffic scope, not configuration drift; single-technique XAI (SHAP only)</w:t>
            </w:r>
          </w:p>
        </w:tc>
        <w:tc>
          <w:tcPr>
            <w:tcW w:w="1728" w:type="dxa"/>
            <w:shd w:val="clear" w:color="auto" w:fill="F2F5F8"/>
          </w:tcPr>
          <w:p w14:paraId="1C1D5B3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9 (SHAP for security-risk prediction)</w:t>
            </w:r>
          </w:p>
        </w:tc>
      </w:tr>
      <w:tr w:rsidR="00543F2B" w14:paraId="79CD6383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4BA5AFB1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13</w:t>
            </w:r>
          </w:p>
        </w:tc>
        <w:tc>
          <w:tcPr>
            <w:tcW w:w="1872" w:type="dxa"/>
            <w:shd w:val="clear" w:color="auto" w:fill="FFFFFF"/>
          </w:tcPr>
          <w:p w14:paraId="2E51F56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Mohale, Obagbuwa — "A systematic review on the integration of explainable artificial intelligence in intrusion detection systems…"</w:t>
            </w:r>
          </w:p>
        </w:tc>
        <w:tc>
          <w:tcPr>
            <w:tcW w:w="648" w:type="dxa"/>
            <w:shd w:val="clear" w:color="auto" w:fill="FFFFFF"/>
          </w:tcPr>
          <w:p w14:paraId="193FB9DF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2025</w:t>
            </w:r>
          </w:p>
        </w:tc>
        <w:tc>
          <w:tcPr>
            <w:tcW w:w="1368" w:type="dxa"/>
            <w:shd w:val="clear" w:color="auto" w:fill="FFFFFF"/>
          </w:tcPr>
          <w:p w14:paraId="3CCA70D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Frontiers in Artificial Intelligence, 8:1526221</w:t>
            </w:r>
          </w:p>
        </w:tc>
        <w:tc>
          <w:tcPr>
            <w:tcW w:w="1584" w:type="dxa"/>
            <w:shd w:val="clear" w:color="auto" w:fill="FFFFFF"/>
          </w:tcPr>
          <w:p w14:paraId="3D58816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Systematic literature review of XAI-IDS integration</w:t>
            </w:r>
          </w:p>
        </w:tc>
        <w:tc>
          <w:tcPr>
            <w:tcW w:w="1224" w:type="dxa"/>
            <w:shd w:val="clear" w:color="auto" w:fill="FFFFFF"/>
          </w:tcPr>
          <w:p w14:paraId="07688829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N/A (review)</w:t>
            </w:r>
          </w:p>
        </w:tc>
        <w:tc>
          <w:tcPr>
            <w:tcW w:w="2016" w:type="dxa"/>
            <w:shd w:val="clear" w:color="auto" w:fill="FFFFFF"/>
          </w:tcPr>
          <w:p w14:paraId="503C548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Confirms SHAP/LIME as dominant XAI techniques in security ML; identifies standardization, scalability, and real-time-performance gaps for XAI in security</w:t>
            </w:r>
          </w:p>
        </w:tc>
        <w:tc>
          <w:tcPr>
            <w:tcW w:w="1728" w:type="dxa"/>
            <w:shd w:val="clear" w:color="auto" w:fill="FFFFFF"/>
          </w:tcPr>
          <w:p w14:paraId="35838B6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Recent, systematic, cybersecurity-specific</w:t>
            </w:r>
          </w:p>
        </w:tc>
        <w:tc>
          <w:tcPr>
            <w:tcW w:w="1728" w:type="dxa"/>
            <w:shd w:val="clear" w:color="auto" w:fill="FFFFFF"/>
          </w:tcPr>
          <w:p w14:paraId="12877F0E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Confirms open challenges rather than solving them; IDS-focused, not IaC/cloud-config-focused</w:t>
            </w:r>
          </w:p>
        </w:tc>
        <w:tc>
          <w:tcPr>
            <w:tcW w:w="1728" w:type="dxa"/>
            <w:shd w:val="clear" w:color="auto" w:fill="FFFFFF"/>
          </w:tcPr>
          <w:p w14:paraId="7321FBFF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Cross-cutting — corroborates that XAI-security integration is immature and computationally costly, informing this project's "risk/limitations" section</w:t>
            </w:r>
          </w:p>
        </w:tc>
      </w:tr>
      <w:tr w:rsidR="00543F2B" w14:paraId="77009DE8" w14:textId="77777777" w:rsidTr="006E58EB">
        <w:trPr>
          <w:cantSplit/>
          <w:jc w:val="center"/>
        </w:trPr>
        <w:tc>
          <w:tcPr>
            <w:tcW w:w="504" w:type="dxa"/>
            <w:shd w:val="clear" w:color="auto" w:fill="F2F5F8"/>
          </w:tcPr>
          <w:p w14:paraId="576F9EC9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t>14</w:t>
            </w:r>
          </w:p>
        </w:tc>
        <w:tc>
          <w:tcPr>
            <w:tcW w:w="1872" w:type="dxa"/>
            <w:shd w:val="clear" w:color="auto" w:fill="F2F5F8"/>
          </w:tcPr>
          <w:p w14:paraId="702B6B2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Coppola, Varde, Shang — "Enhancing Cloud Security Posture for Ubiquitous Data Access with a Cybersecurity Framework Based Management Tool"</w:t>
            </w:r>
          </w:p>
        </w:tc>
        <w:tc>
          <w:tcPr>
            <w:tcW w:w="648" w:type="dxa"/>
            <w:shd w:val="clear" w:color="auto" w:fill="F2F5F8"/>
          </w:tcPr>
          <w:p w14:paraId="4CBA5A62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2023</w:t>
            </w:r>
          </w:p>
        </w:tc>
        <w:tc>
          <w:tcPr>
            <w:tcW w:w="1368" w:type="dxa"/>
            <w:shd w:val="clear" w:color="auto" w:fill="F2F5F8"/>
          </w:tcPr>
          <w:p w14:paraId="242A49D4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IEEE Conference Publication (NSF-funded; Montclair State Univ.)</w:t>
            </w:r>
          </w:p>
        </w:tc>
        <w:tc>
          <w:tcPr>
            <w:tcW w:w="1584" w:type="dxa"/>
            <w:shd w:val="clear" w:color="auto" w:fill="F2F5F8"/>
          </w:tcPr>
          <w:p w14:paraId="055F16E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CSPM tool design mapped to NIST CSF v1.1, AWS-specific (VPC logs, GuardDuty, CloudTrail)</w:t>
            </w:r>
          </w:p>
        </w:tc>
        <w:tc>
          <w:tcPr>
            <w:tcW w:w="1224" w:type="dxa"/>
            <w:shd w:val="clear" w:color="auto" w:fill="F2F5F8"/>
          </w:tcPr>
          <w:p w14:paraId="2BFE109B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N/A (tool/framework design paper)</w:t>
            </w:r>
          </w:p>
        </w:tc>
        <w:tc>
          <w:tcPr>
            <w:tcW w:w="2016" w:type="dxa"/>
            <w:shd w:val="clear" w:color="auto" w:fill="F2F5F8"/>
          </w:tcPr>
          <w:p w14:paraId="4CCFD3B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Designs an AI-assisted CSPM tool for continuous AWS monitoring, misconfiguration alerting, and remediation recommendation</w:t>
            </w:r>
          </w:p>
        </w:tc>
        <w:tc>
          <w:tcPr>
            <w:tcW w:w="1728" w:type="dxa"/>
            <w:shd w:val="clear" w:color="auto" w:fill="F2F5F8"/>
          </w:tcPr>
          <w:p w14:paraId="5BFAD3CC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AWS-native, NIST-CSF-aligned, uses AI for risk identification</w:t>
            </w:r>
          </w:p>
        </w:tc>
        <w:tc>
          <w:tcPr>
            <w:tcW w:w="1728" w:type="dxa"/>
            <w:shd w:val="clear" w:color="auto" w:fill="F2F5F8"/>
          </w:tcPr>
          <w:p w14:paraId="409C26A8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No IaC/desired-state comparison (drift detection); AI component is not detailed as an explainable ML classifier; no SHAP/LIME</w:t>
            </w:r>
          </w:p>
        </w:tc>
        <w:tc>
          <w:tcPr>
            <w:tcW w:w="1728" w:type="dxa"/>
            <w:shd w:val="clear" w:color="auto" w:fill="F2F5F8"/>
          </w:tcPr>
          <w:p w14:paraId="4183C3F0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6/10 (AWS configuration monitoring, automated remediation) — closest prior work in AWS-native CSPM automation</w:t>
            </w:r>
          </w:p>
        </w:tc>
      </w:tr>
      <w:tr w:rsidR="00543F2B" w14:paraId="16CA4D45" w14:textId="77777777" w:rsidTr="006E58EB">
        <w:trPr>
          <w:cantSplit/>
          <w:jc w:val="center"/>
        </w:trPr>
        <w:tc>
          <w:tcPr>
            <w:tcW w:w="504" w:type="dxa"/>
            <w:shd w:val="clear" w:color="auto" w:fill="FFFFFF"/>
          </w:tcPr>
          <w:p w14:paraId="6DB6D7AC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62626"/>
                <w:sz w:val="17"/>
              </w:rPr>
              <w:lastRenderedPageBreak/>
              <w:t>15</w:t>
            </w:r>
          </w:p>
        </w:tc>
        <w:tc>
          <w:tcPr>
            <w:tcW w:w="1872" w:type="dxa"/>
            <w:shd w:val="clear" w:color="auto" w:fill="FFFFFF"/>
          </w:tcPr>
          <w:p w14:paraId="1A7CCE35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Thiyagarajan, Bist, Nayak — "AI-Driven Configuration Drift Detection in Cloud Environments"</w:t>
            </w:r>
          </w:p>
        </w:tc>
        <w:tc>
          <w:tcPr>
            <w:tcW w:w="648" w:type="dxa"/>
            <w:shd w:val="clear" w:color="auto" w:fill="FFFFFF"/>
          </w:tcPr>
          <w:p w14:paraId="40FF904F" w14:textId="77777777" w:rsidR="00543F2B" w:rsidRDefault="00543F2B" w:rsidP="006E58EB">
            <w:pPr>
              <w:spacing w:before="40" w:after="40"/>
              <w:jc w:val="center"/>
            </w:pPr>
            <w:r>
              <w:rPr>
                <w:rFonts w:ascii="Calibri" w:hAnsi="Calibri"/>
                <w:color w:val="262626"/>
                <w:sz w:val="17"/>
              </w:rPr>
              <w:t>2024</w:t>
            </w:r>
          </w:p>
        </w:tc>
        <w:tc>
          <w:tcPr>
            <w:tcW w:w="1368" w:type="dxa"/>
            <w:shd w:val="clear" w:color="auto" w:fill="FFFFFF"/>
          </w:tcPr>
          <w:p w14:paraId="2750045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International Journal of Communication Networks and Information Security (IJCNIS), 16(5), 721–743</w:t>
            </w:r>
          </w:p>
        </w:tc>
        <w:tc>
          <w:tcPr>
            <w:tcW w:w="1584" w:type="dxa"/>
            <w:shd w:val="clear" w:color="auto" w:fill="FFFFFF"/>
          </w:tcPr>
          <w:p w14:paraId="43C4193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 models trained on IaC + AWS Config logs to predict drift vs. non-drift</w:t>
            </w:r>
          </w:p>
        </w:tc>
        <w:tc>
          <w:tcPr>
            <w:tcW w:w="1224" w:type="dxa"/>
            <w:shd w:val="clear" w:color="auto" w:fill="FFFFFF"/>
          </w:tcPr>
          <w:p w14:paraId="5507F3A6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Historical/real-time AWS Config-derived configuration data</w:t>
            </w:r>
          </w:p>
        </w:tc>
        <w:tc>
          <w:tcPr>
            <w:tcW w:w="2016" w:type="dxa"/>
            <w:shd w:val="clear" w:color="auto" w:fill="FFFFFF"/>
          </w:tcPr>
          <w:p w14:paraId="2D1B08A3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ML framework classifies configurations as drift/non-drift across resource types; framed as scalable for multi-cloud</w:t>
            </w:r>
          </w:p>
        </w:tc>
        <w:tc>
          <w:tcPr>
            <w:tcW w:w="1728" w:type="dxa"/>
            <w:shd w:val="clear" w:color="auto" w:fill="FFFFFF"/>
          </w:tcPr>
          <w:p w14:paraId="01272D2F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Directly combines IaC + AWS Config + ML for drift classification — closest single prior work to this project's core idea</w:t>
            </w:r>
          </w:p>
        </w:tc>
        <w:tc>
          <w:tcPr>
            <w:tcW w:w="1728" w:type="dxa"/>
            <w:shd w:val="clear" w:color="auto" w:fill="FFFFFF"/>
          </w:tcPr>
          <w:p w14:paraId="56FD20FD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Binary drift/non-drift only (no severity/risk gradation); no explainability (SHAP/LIME) component; no automated AWS-native alerting (SNS) described</w:t>
            </w:r>
          </w:p>
        </w:tc>
        <w:tc>
          <w:tcPr>
            <w:tcW w:w="1728" w:type="dxa"/>
            <w:shd w:val="clear" w:color="auto" w:fill="FFFFFF"/>
          </w:tcPr>
          <w:p w14:paraId="47E77D9A" w14:textId="77777777" w:rsidR="00543F2B" w:rsidRDefault="00543F2B" w:rsidP="006E58EB">
            <w:pPr>
              <w:spacing w:before="40" w:after="40"/>
            </w:pPr>
            <w:r>
              <w:rPr>
                <w:rFonts w:ascii="Calibri" w:hAnsi="Calibri"/>
                <w:color w:val="262626"/>
                <w:sz w:val="17"/>
              </w:rPr>
              <w:t>Theme 1/6 — the single most directly comparable prior system; its explicit absence of XAI and severity grading is the key gap this project targets</w:t>
            </w:r>
          </w:p>
        </w:tc>
      </w:tr>
    </w:tbl>
    <w:p w14:paraId="6A031F1D" w14:textId="77777777" w:rsidR="00543F2B" w:rsidRDefault="00543F2B" w:rsidP="00543F2B"/>
    <w:p w14:paraId="69E369BD" w14:textId="77777777" w:rsidR="008E4DB3" w:rsidRDefault="008E4DB3"/>
    <w:sectPr w:rsidR="008E4DB3" w:rsidSect="00543F2B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9E1"/>
    <w:rsid w:val="00143A6A"/>
    <w:rsid w:val="001B0675"/>
    <w:rsid w:val="002A36A8"/>
    <w:rsid w:val="00543F2B"/>
    <w:rsid w:val="005B79E1"/>
    <w:rsid w:val="008E4DB3"/>
    <w:rsid w:val="00F813C1"/>
    <w:rsid w:val="00FB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5EBF0E-818A-499B-AE56-7CAF89D31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F2B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79E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9E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9E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9E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9E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9E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9E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9E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9E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B7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9E1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B7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9E1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B7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9E1"/>
    <w:pPr>
      <w:spacing w:after="160" w:line="259" w:lineRule="auto"/>
      <w:ind w:left="720"/>
      <w:contextualSpacing/>
    </w:pPr>
    <w:rPr>
      <w:rFonts w:eastAsiaTheme="minorHAnsi"/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B7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9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1514</Words>
  <Characters>8636</Characters>
  <Application>Microsoft Office Word</Application>
  <DocSecurity>0</DocSecurity>
  <Lines>71</Lines>
  <Paragraphs>20</Paragraphs>
  <ScaleCrop>false</ScaleCrop>
  <Company/>
  <LinksUpToDate>false</LinksUpToDate>
  <CharactersWithSpaces>10130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Somasundar Badami</dc:creator>
  <cp:keywords/>
  <dc:description/>
  <cp:lastModifiedBy>Somasundar Badami</cp:lastModifiedBy>
  <cp:revision>2</cp:revision>
  <dcterms:created xsi:type="dcterms:W3CDTF">2026-09-04T17:21:00Z</dcterms:created>
  <dcterms:modified xsi:type="dcterms:W3CDTF">2026-09-04T17:21:00Z</dcterms:modified>
</cp:coreProperties>
</file>