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55F6D"/>
          <w:sz w:val="20"/>
        </w:rPr>
        <w:t>BCSE355L – Cloud Architecture Design  ·  Project Phase-I</w:t>
      </w:r>
    </w:p>
    <w:p>
      <w:pPr>
        <w:spacing w:after="40"/>
      </w:pPr>
      <w:r>
        <w:rPr>
          <w:b/>
          <w:i w:val="0"/>
          <w:color w:val="1F3A5F"/>
          <w:sz w:val="22"/>
        </w:rPr>
        <w:t>InfraDriftGuard</w:t>
      </w:r>
    </w:p>
    <w:p>
      <w:pPr>
        <w:pStyle w:val="Heading1"/>
      </w:pPr>
      <w:r>
        <w:t>Project Objectives</w:t>
      </w:r>
    </w:p>
    <w:p>
      <w:pPr>
        <w:pStyle w:val="Heading2"/>
      </w:pPr>
      <w:r>
        <w:t>Project Objectives</w:t>
      </w:r>
    </w:p>
    <w:p>
      <w:pPr>
        <w:pStyle w:val="ListNumber"/>
      </w:pPr>
      <w:r>
        <w:rPr>
          <w:b/>
        </w:rPr>
        <w:t xml:space="preserve">Detect drift continuously: </w:t>
      </w:r>
      <w:r>
        <w:rPr>
          <w:b w:val="0"/>
        </w:rPr>
        <w:t>Compare the Terraform-declared desired state with the live configuration of S3 buckets, EC2 security groups and IAM roles every hour (and on demand), detecting 100% of the 21 supported attribute changes in the automated test suite.</w:t>
      </w:r>
    </w:p>
    <w:p>
      <w:pPr>
        <w:pStyle w:val="ListNumber"/>
      </w:pPr>
      <w:r>
        <w:rPr>
          <w:b/>
        </w:rPr>
        <w:t xml:space="preserve">Classify risk accurately: </w:t>
      </w:r>
      <w:r>
        <w:rPr>
          <w:b w:val="0"/>
        </w:rPr>
        <w:t>Assign each drift a Low/Medium/High/Critical risk with a Random Forest classifier, reaching at least 95% macro-F1 on held-out records, and report the harder scenario-held-out score honestly alongside it.</w:t>
      </w:r>
    </w:p>
    <w:p>
      <w:pPr>
        <w:pStyle w:val="ListNumber"/>
      </w:pPr>
      <w:r>
        <w:rPr>
          <w:b/>
        </w:rPr>
        <w:t xml:space="preserve">Explain every prediction: </w:t>
      </w:r>
      <w:r>
        <w:rPr>
          <w:b w:val="0"/>
        </w:rPr>
        <w:t>Provide SHAP global and local explanations whose values add up exactly to the model output (additivity error below 1e-6) so an operator can see why a change was rated Critical.</w:t>
      </w:r>
    </w:p>
    <w:p>
      <w:pPr>
        <w:pStyle w:val="ListNumber"/>
      </w:pPr>
      <w:r>
        <w:rPr>
          <w:b/>
        </w:rPr>
        <w:t xml:space="preserve">Respond automatically and safely: </w:t>
      </w:r>
      <w:r>
        <w:rPr>
          <w:b w:val="0"/>
        </w:rPr>
        <w:t>Send an SNS e-mail for every High/Critical drift within one scan cycle, store every finding in DynamoDB, and optionally auto-revert the two Critical patterns that have a single safe fix.</w:t>
      </w:r>
    </w:p>
    <w:p>
      <w:pPr>
        <w:pStyle w:val="ListNumber"/>
      </w:pPr>
      <w:r>
        <w:rPr>
          <w:b/>
        </w:rPr>
        <w:t xml:space="preserve">Secure access and observability: </w:t>
      </w:r>
      <w:r>
        <w:rPr>
          <w:b w:val="0"/>
        </w:rPr>
        <w:t>Expose findings only through an API Gateway endpoint protected by Cognito JWT authentication, and monitor the pipeline with CloudWatch logs, metrics, alarms and a dashboard.</w:t>
      </w:r>
    </w:p>
    <w:p>
      <w:pPr>
        <w:pStyle w:val="ListNumber"/>
      </w:pPr>
      <w:r>
        <w:rPr>
          <w:b/>
        </w:rPr>
        <w:t xml:space="preserve">Stay inside the AWS free tier: </w:t>
      </w:r>
      <w:r>
        <w:rPr>
          <w:b w:val="0"/>
        </w:rPr>
        <w:t>Keep the full deployment under US$1 per month (enforced by an AWS Budgets alarm) by running inference in a dependency-free Lambda package of under 1 MB.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