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Abstract</w:t>
      </w:r>
    </w:p>
    <w:p>
      <w:r>
        <w:rPr>
          <w:b w:val="0"/>
          <w:i/>
          <w:sz w:val="20"/>
        </w:rPr>
        <w:t>294 words</w:t>
      </w:r>
    </w:p>
    <w:p>
      <w:pPr>
        <w:jc w:val="both"/>
      </w:pPr>
      <w:r>
        <w:rPr>
          <w:b w:val="0"/>
          <w:i w:val="0"/>
        </w:rPr>
        <w:t>Infrastructure as Code (IaC) tools such as Terraform declare cloud infrastructure in version-controlled files, but the live environment rarely stays identical to that declaration. Manual console edits, emergency fixes and automation side-effects cause configuration drift, and drift in security-sensitive settings – a public S3 bucket, SSH opened to the internet, an IAM role escalated to wildcard permissions – is one of the leading causes of cloud data breaches. Existing tools have three shortcomings: static IaC scanners inspect only the code and never see the live account; native drift checks (terraform plan, AWS Config) report that something changed but not how dangerous the change is; and the few machine-learning approaches published so far are black boxes that operators cannot audit. This project proposes InfraDriftGuard, a serverless drift detection and risk classification system on AWS. Terraform renders the desired state of every monitored resource; an AWS Lambda function, triggered hourly by Amazon EventBridge, collects the live configuration of S3 buckets, EC2 security groups and IAM roles through read-only APIs, normalises it, computes an attribute-level diff, and converts each change into nine security features. A Random Forest classifier, trained on a 711-record dataset covering 20 drift scenarios and exported to a dependency-free JSON model, assigns a Low/Medium/High/Critical risk, while SHAP explains which features drove each prediction. Changes the model was never trained on are labelled “Review” instead of guessed. Findings are stored in Amazon DynamoDB, High/Critical drift triggers Amazon SNS e-mail alerts, two unambiguous Critical patterns can be auto-remediated, and results are served through Amazon API Gateway secured by Amazon Cognito to a Streamlit dashboard. Amazon CloudWatch provides logs, metrics, alarms and a dashboard, and AWS Budgets guards the free-tier cost. AWS services used: Lambda, EventBridge, S3, EC2, IAM, DynamoDB, SNS, API Gateway, Cognito, CloudWatch and Budgets.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