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color w:val="555F6D"/>
          <w:sz w:val="20"/>
        </w:rPr>
        <w:t>BCSE355L – Cloud Architecture Design  ·  Project Phase-I</w:t>
      </w:r>
    </w:p>
    <w:p>
      <w:pPr>
        <w:spacing w:after="40"/>
      </w:pPr>
      <w:r>
        <w:rPr>
          <w:b/>
          <w:i w:val="0"/>
          <w:color w:val="1F3A5F"/>
          <w:sz w:val="22"/>
        </w:rPr>
        <w:t>InfraDriftGuard</w:t>
      </w:r>
    </w:p>
    <w:p>
      <w:pPr>
        <w:pStyle w:val="Heading1"/>
      </w:pPr>
      <w:r>
        <w:t>Literature Survey</w:t>
      </w:r>
    </w:p>
    <w:p/>
    <w:p>
      <w:pPr>
        <w:pStyle w:val="Heading2"/>
      </w:pPr>
      <w:r>
        <w:t>Literature Survey</w:t>
      </w:r>
    </w:p>
    <w:p>
      <w:r>
        <w:rPr>
          <w:b w:val="0"/>
          <w:i w:val="0"/>
        </w:rPr>
        <w:t>Fifteen peer-reviewed papers published 2023–2026 (IEEE, ACM, Springer, Frontiers and Scopus-indexed journals) were studied. Papers 1–8 were studied by Student 1 and papers 9–15 by Student 2, following the team-of-two allocation.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rPr>
          <w:cantSplit/>
          <w:tblHeader/>
        </w:trPr>
        <w:tc>
          <w:tcPr>
            <w:tcW w:type="dxa" w:w="2041"/>
            <w:shd w:val="clear" w:color="auto" w:fill="1F3A5F"/>
          </w:tcPr>
          <w:p>
            <w:r/>
            <w:r>
              <w:rPr>
                <w:b/>
                <w:color w:val="FFFFFF"/>
                <w:sz w:val="17"/>
              </w:rPr>
              <w:t>Paper</w:t>
            </w:r>
          </w:p>
        </w:tc>
        <w:tc>
          <w:tcPr>
            <w:tcW w:type="dxa" w:w="2835"/>
            <w:shd w:val="clear" w:color="auto" w:fill="1F3A5F"/>
          </w:tcPr>
          <w:p>
            <w:r/>
            <w:r>
              <w:rPr>
                <w:b/>
                <w:color w:val="FFFFFF"/>
                <w:sz w:val="17"/>
              </w:rPr>
              <w:t>Method</w:t>
            </w:r>
          </w:p>
        </w:tc>
        <w:tc>
          <w:tcPr>
            <w:tcW w:type="dxa" w:w="2041"/>
            <w:shd w:val="clear" w:color="auto" w:fill="1F3A5F"/>
          </w:tcPr>
          <w:p>
            <w:r/>
            <w:r>
              <w:rPr>
                <w:b/>
                <w:color w:val="FFFFFF"/>
                <w:sz w:val="17"/>
              </w:rPr>
              <w:t>Dataset</w:t>
            </w:r>
          </w:p>
        </w:tc>
        <w:tc>
          <w:tcPr>
            <w:tcW w:type="dxa" w:w="2608"/>
            <w:shd w:val="clear" w:color="auto" w:fill="1F3A5F"/>
          </w:tcPr>
          <w:p>
            <w:r/>
            <w:r>
              <w:rPr>
                <w:b/>
                <w:color w:val="FFFFFF"/>
                <w:sz w:val="17"/>
              </w:rPr>
              <w:t>Advantages</w:t>
            </w:r>
          </w:p>
        </w:tc>
        <w:tc>
          <w:tcPr>
            <w:tcW w:type="dxa" w:w="2608"/>
            <w:shd w:val="clear" w:color="auto" w:fill="1F3A5F"/>
          </w:tcPr>
          <w:p>
            <w:r/>
            <w:r>
              <w:rPr>
                <w:b/>
                <w:color w:val="FFFFFF"/>
                <w:sz w:val="17"/>
              </w:rPr>
              <w:t>Limitations</w:t>
            </w:r>
          </w:p>
        </w:tc>
        <w:tc>
          <w:tcPr>
            <w:tcW w:type="dxa" w:w="2608"/>
            <w:shd w:val="clear" w:color="auto" w:fill="1F3A5F"/>
          </w:tcPr>
          <w:p>
            <w:r/>
            <w:r>
              <w:rPr>
                <w:b/>
                <w:color w:val="FFFFFF"/>
                <w:sz w:val="17"/>
              </w:rPr>
              <w:t>Research Gap</w:t>
            </w:r>
          </w:p>
        </w:tc>
      </w:tr>
      <w:tr>
        <w:trPr>
          <w:cantSplit/>
        </w:trPr>
        <w:tc>
          <w:tcPr>
            <w:tcW w:type="dxa" w:w="2041"/>
          </w:tcPr>
          <w:p>
            <w:r/>
            <w:r>
              <w:rPr>
                <w:sz w:val="17"/>
              </w:rPr>
              <w:t>[1] Thiyagarajan et al., IJCNIS 2024</w:t>
            </w:r>
          </w:p>
        </w:tc>
        <w:tc>
          <w:tcPr>
            <w:tcW w:type="dxa" w:w="2835"/>
          </w:tcPr>
          <w:p>
            <w:r/>
            <w:r>
              <w:rPr>
                <w:sz w:val="17"/>
              </w:rPr>
              <w:t>ML models trained on historical and real-time configuration data from AWS Config logs and Terraform state to flag drift; integrates with existing IaC pipelines.</w:t>
            </w:r>
          </w:p>
        </w:tc>
        <w:tc>
          <w:tcPr>
            <w:tcW w:type="dxa" w:w="2041"/>
          </w:tcPr>
          <w:p>
            <w:r/>
            <w:r>
              <w:rPr>
                <w:sz w:val="17"/>
              </w:rPr>
              <w:t>AWS Config configuration-item history and Terraform state from cloud deployments.</w:t>
            </w:r>
          </w:p>
        </w:tc>
        <w:tc>
          <w:tcPr>
            <w:tcW w:type="dxa" w:w="2608"/>
          </w:tcPr>
          <w:p>
            <w:r/>
            <w:r>
              <w:rPr>
                <w:sz w:val="17"/>
              </w:rPr>
              <w:t>Directly targets drift in AWS; uses live configuration, not only code; shows ML can learn which configuration changes matter.</w:t>
            </w:r>
          </w:p>
        </w:tc>
        <w:tc>
          <w:tcPr>
            <w:tcW w:type="dxa" w:w="2608"/>
          </w:tcPr>
          <w:p>
            <w:r/>
            <w:r>
              <w:rPr>
                <w:sz w:val="17"/>
              </w:rPr>
              <w:t>Relies on AWS Config (a paid service per recorded item); model decisions are not explained to the operator; no per-change risk severity or automated response.</w:t>
            </w:r>
          </w:p>
        </w:tc>
        <w:tc>
          <w:tcPr>
            <w:tcW w:type="dxa" w:w="2608"/>
          </w:tcPr>
          <w:p>
            <w:r/>
            <w:r>
              <w:rPr>
                <w:sz w:val="17"/>
              </w:rPr>
              <w:t>Drift is detected but not ranked by security impact, and predictions are not explainable.</w:t>
            </w:r>
          </w:p>
        </w:tc>
      </w:tr>
      <w:tr>
        <w:trPr>
          <w:cantSplit/>
        </w:trPr>
        <w:tc>
          <w:tcPr>
            <w:tcW w:type="dxa" w:w="2041"/>
            <w:shd w:val="clear" w:color="auto" w:fill="EEF3F8"/>
          </w:tcPr>
          <w:p>
            <w:r/>
            <w:r>
              <w:rPr>
                <w:sz w:val="17"/>
              </w:rPr>
              <w:t>[2] Hassan et al., ACM FSE 2024</w:t>
            </w:r>
          </w:p>
        </w:tc>
        <w:tc>
          <w:tcPr>
            <w:tcW w:type="dxa" w:w="2835"/>
            <w:shd w:val="clear" w:color="auto" w:fill="EEF3F8"/>
          </w:tcPr>
          <w:p>
            <w:r/>
            <w:r>
              <w:rPr>
                <w:sz w:val="17"/>
              </w:rPr>
              <w:t>Empirical study of defects in how IaC tools reconcile declared state with real state; builds a taxonomy and a testing approach for state-reconciliation bugs.</w:t>
            </w:r>
          </w:p>
        </w:tc>
        <w:tc>
          <w:tcPr>
            <w:tcW w:type="dxa" w:w="2041"/>
            <w:shd w:val="clear" w:color="auto" w:fill="EEF3F8"/>
          </w:tcPr>
          <w:p>
            <w:r/>
            <w:r>
              <w:rPr>
                <w:sz w:val="17"/>
              </w:rPr>
              <w:t>Defect reports and code changes from Ansible, Terraform-style IaC projects and tools.</w:t>
            </w:r>
          </w:p>
        </w:tc>
        <w:tc>
          <w:tcPr>
            <w:tcW w:type="dxa" w:w="2608"/>
            <w:shd w:val="clear" w:color="auto" w:fill="EEF3F8"/>
          </w:tcPr>
          <w:p>
            <w:r/>
            <w:r>
              <w:rPr>
                <w:sz w:val="17"/>
              </w:rPr>
              <w:t>First systematic look at the gap between declared and actual state; explains why drift arises even without human error.</w:t>
            </w:r>
          </w:p>
        </w:tc>
        <w:tc>
          <w:tcPr>
            <w:tcW w:type="dxa" w:w="2608"/>
            <w:shd w:val="clear" w:color="auto" w:fill="EEF3F8"/>
          </w:tcPr>
          <w:p>
            <w:r/>
            <w:r>
              <w:rPr>
                <w:sz w:val="17"/>
              </w:rPr>
              <w:t>Focuses on finding bugs in the IaC tools themselves, not on monitoring production accounts or rating the risk of a given drift.</w:t>
            </w:r>
          </w:p>
        </w:tc>
        <w:tc>
          <w:tcPr>
            <w:tcW w:type="dxa" w:w="2608"/>
            <w:shd w:val="clear" w:color="auto" w:fill="EEF3F8"/>
          </w:tcPr>
          <w:p>
            <w:r/>
            <w:r>
              <w:rPr>
                <w:sz w:val="17"/>
              </w:rPr>
              <w:t>No runtime component that continuously checks real cloud resources against the declared state.</w:t>
            </w:r>
          </w:p>
        </w:tc>
      </w:tr>
      <w:tr>
        <w:trPr>
          <w:cantSplit/>
        </w:trPr>
        <w:tc>
          <w:tcPr>
            <w:tcW w:type="dxa" w:w="2041"/>
          </w:tcPr>
          <w:p>
            <w:r/>
            <w:r>
              <w:rPr>
                <w:sz w:val="17"/>
              </w:rPr>
              <w:t>[3] Abuzakuk et al. (RIVA), ACM 2026</w:t>
            </w:r>
          </w:p>
        </w:tc>
        <w:tc>
          <w:tcPr>
            <w:tcW w:type="dxa" w:w="2835"/>
          </w:tcPr>
          <w:p>
            <w:r/>
            <w:r>
              <w:rPr>
                <w:sz w:val="17"/>
              </w:rPr>
              <w:t>Multi-agent LLM system (verifier agent + tool-generation agent) that cross-validates tool outputs to verify that deployed systems match their IaC specification.</w:t>
            </w:r>
          </w:p>
        </w:tc>
        <w:tc>
          <w:tcPr>
            <w:tcW w:type="dxa" w:w="2041"/>
          </w:tcPr>
          <w:p>
            <w:r/>
            <w:r>
              <w:rPr>
                <w:sz w:val="17"/>
              </w:rPr>
              <w:t>IaC verification tasks with injected unreliable/incorrect tool responses.</w:t>
            </w:r>
          </w:p>
        </w:tc>
        <w:tc>
          <w:tcPr>
            <w:tcW w:type="dxa" w:w="2608"/>
          </w:tcPr>
          <w:p>
            <w:r/>
            <w:r>
              <w:rPr>
                <w:sz w:val="17"/>
              </w:rPr>
              <w:t>Robust to misleading tool output; raises task success from 27.3% to 50.0% over a ReAct baseline when tools are unreliable.</w:t>
            </w:r>
          </w:p>
        </w:tc>
        <w:tc>
          <w:tcPr>
            <w:tcW w:type="dxa" w:w="2608"/>
          </w:tcPr>
          <w:p>
            <w:r/>
            <w:r>
              <w:rPr>
                <w:sz w:val="17"/>
              </w:rPr>
              <w:t>Even the best configuration solves only about half of the tasks; LLM inference is costly and non-deterministic; no severity rating of detected drift.</w:t>
            </w:r>
          </w:p>
        </w:tc>
        <w:tc>
          <w:tcPr>
            <w:tcW w:type="dxa" w:w="2608"/>
          </w:tcPr>
          <w:p>
            <w:r/>
            <w:r>
              <w:rPr>
                <w:sz w:val="17"/>
              </w:rPr>
              <w:t>Accurate, cheap and deterministic drift checking with a quantified risk is still missing.</w:t>
            </w:r>
          </w:p>
        </w:tc>
      </w:tr>
      <w:tr>
        <w:trPr>
          <w:cantSplit/>
        </w:trPr>
        <w:tc>
          <w:tcPr>
            <w:tcW w:type="dxa" w:w="2041"/>
            <w:shd w:val="clear" w:color="auto" w:fill="EEF3F8"/>
          </w:tcPr>
          <w:p>
            <w:r/>
            <w:r>
              <w:rPr>
                <w:sz w:val="17"/>
              </w:rPr>
              <w:t>[4] Wen et al. (SlsDetector), ACM TOSEM 2026</w:t>
            </w:r>
          </w:p>
        </w:tc>
        <w:tc>
          <w:tcPr>
            <w:tcW w:type="dxa" w:w="2835"/>
            <w:shd w:val="clear" w:color="auto" w:fill="EEF3F8"/>
          </w:tcPr>
          <w:p>
            <w:r/>
            <w:r>
              <w:rPr>
                <w:sz w:val="17"/>
              </w:rPr>
              <w:t>SlsDetector: zero-shot prompt-engineered LLM that inspects AWS SAM templates for misconfigurations.</w:t>
            </w:r>
          </w:p>
        </w:tc>
        <w:tc>
          <w:tcPr>
            <w:tcW w:type="dxa" w:w="2041"/>
            <w:shd w:val="clear" w:color="auto" w:fill="EEF3F8"/>
          </w:tcPr>
          <w:p>
            <w:r/>
            <w:r>
              <w:rPr>
                <w:sz w:val="17"/>
              </w:rPr>
              <w:t>Real-world AWS SAM serverless application configurations.</w:t>
            </w:r>
          </w:p>
        </w:tc>
        <w:tc>
          <w:tcPr>
            <w:tcW w:type="dxa" w:w="2608"/>
            <w:shd w:val="clear" w:color="auto" w:fill="EEF3F8"/>
          </w:tcPr>
          <w:p>
            <w:r/>
            <w:r>
              <w:rPr>
                <w:sz w:val="17"/>
              </w:rPr>
              <w:t>No training data needed; precision 72.88%, recall 88.18%, F1 79.75%, beating data-driven baselines.</w:t>
            </w:r>
          </w:p>
        </w:tc>
        <w:tc>
          <w:tcPr>
            <w:tcW w:type="dxa" w:w="2608"/>
            <w:shd w:val="clear" w:color="auto" w:fill="EEF3F8"/>
          </w:tcPr>
          <w:p>
            <w:r/>
            <w:r>
              <w:rPr>
                <w:sz w:val="17"/>
              </w:rPr>
              <w:t>Analyses templates before deployment only; about one in four alarms is a false positive; requires an external LLM API.</w:t>
            </w:r>
          </w:p>
        </w:tc>
        <w:tc>
          <w:tcPr>
            <w:tcW w:type="dxa" w:w="2608"/>
            <w:shd w:val="clear" w:color="auto" w:fill="EEF3F8"/>
          </w:tcPr>
          <w:p>
            <w:r/>
            <w:r>
              <w:rPr>
                <w:sz w:val="17"/>
              </w:rPr>
              <w:t>Misconfigurations introduced after deployment (outside the template) are invisible to it.</w:t>
            </w:r>
          </w:p>
        </w:tc>
      </w:tr>
      <w:tr>
        <w:trPr>
          <w:cantSplit/>
        </w:trPr>
        <w:tc>
          <w:tcPr>
            <w:tcW w:type="dxa" w:w="2041"/>
          </w:tcPr>
          <w:p>
            <w:r/>
            <w:r>
              <w:rPr>
                <w:sz w:val="17"/>
              </w:rPr>
              <w:t>[5] Rahman et al., ACM TOSEM 2023</w:t>
            </w:r>
          </w:p>
        </w:tc>
        <w:tc>
          <w:tcPr>
            <w:tcW w:type="dxa" w:w="2835"/>
          </w:tcPr>
          <w:p>
            <w:r/>
            <w:r>
              <w:rPr>
                <w:sz w:val="17"/>
              </w:rPr>
              <w:t>Qualitative analysis of 2,039 Kubernetes manifests from 92 repositories; builds the SLI-KUBE static linter for 11 misconfiguration categories; logistic regression on code metrics.</w:t>
            </w:r>
          </w:p>
        </w:tc>
        <w:tc>
          <w:tcPr>
            <w:tcW w:type="dxa" w:w="2041"/>
          </w:tcPr>
          <w:p>
            <w:r/>
            <w:r>
              <w:rPr>
                <w:sz w:val="17"/>
              </w:rPr>
              <w:t>2,039 manifests (GitHub 1,590 + GitLab 449) from 92 open-source repositories.</w:t>
            </w:r>
          </w:p>
        </w:tc>
        <w:tc>
          <w:tcPr>
            <w:tcW w:type="dxa" w:w="2608"/>
          </w:tcPr>
          <w:p>
            <w:r/>
            <w:r>
              <w:rPr>
                <w:sz w:val="17"/>
              </w:rPr>
              <w:t>Large real-world dataset; identified 1,051 misconfigurations; practitioners agreed to fix 60% of reported issues. (This is the base paper replicated by our team.)</w:t>
            </w:r>
          </w:p>
        </w:tc>
        <w:tc>
          <w:tcPr>
            <w:tcW w:type="dxa" w:w="2608"/>
          </w:tcPr>
          <w:p>
            <w:r/>
            <w:r>
              <w:rPr>
                <w:sz w:val="17"/>
              </w:rPr>
              <w:t>Static analysis of manifests only; binary present/absent output with no severity; Kubernetes-specific.</w:t>
            </w:r>
          </w:p>
        </w:tc>
        <w:tc>
          <w:tcPr>
            <w:tcW w:type="dxa" w:w="2608"/>
          </w:tcPr>
          <w:p>
            <w:r/>
            <w:r>
              <w:rPr>
                <w:sz w:val="17"/>
              </w:rPr>
              <w:t>Severity of each misconfiguration and its appearance at runtime are not addressed.</w:t>
            </w:r>
          </w:p>
        </w:tc>
      </w:tr>
      <w:tr>
        <w:trPr>
          <w:cantSplit/>
        </w:trPr>
        <w:tc>
          <w:tcPr>
            <w:tcW w:type="dxa" w:w="2041"/>
            <w:shd w:val="clear" w:color="auto" w:fill="EEF3F8"/>
          </w:tcPr>
          <w:p>
            <w:r/>
            <w:r>
              <w:rPr>
                <w:sz w:val="17"/>
              </w:rPr>
              <w:t>[6] Saavedra et al. (GLITCH), IEEE/ACM ASE 2023</w:t>
            </w:r>
          </w:p>
        </w:tc>
        <w:tc>
          <w:tcPr>
            <w:tcW w:type="dxa" w:w="2835"/>
            <w:shd w:val="clear" w:color="auto" w:fill="EEF3F8"/>
          </w:tcPr>
          <w:p>
            <w:r/>
            <w:r>
              <w:rPr>
                <w:sz w:val="17"/>
              </w:rPr>
              <w:t>Technology-agnostic intermediate representation of IaC scripts with rule-based detectors for 9 security smells and 9 design smells.</w:t>
            </w:r>
          </w:p>
        </w:tc>
        <w:tc>
          <w:tcPr>
            <w:tcW w:type="dxa" w:w="2041"/>
            <w:shd w:val="clear" w:color="auto" w:fill="EEF3F8"/>
          </w:tcPr>
          <w:p>
            <w:r/>
            <w:r>
              <w:rPr>
                <w:sz w:val="17"/>
              </w:rPr>
              <w:t>IaC scripts in Ansible, Chef, Docker, Puppet and Terraform.</w:t>
            </w:r>
          </w:p>
        </w:tc>
        <w:tc>
          <w:tcPr>
            <w:tcW w:type="dxa" w:w="2608"/>
            <w:shd w:val="clear" w:color="auto" w:fill="EEF3F8"/>
          </w:tcPr>
          <w:p>
            <w:r/>
            <w:r>
              <w:rPr>
                <w:sz w:val="17"/>
              </w:rPr>
              <w:t>One analyser for five IaC languages; consistent rules across technologies.</w:t>
            </w:r>
          </w:p>
        </w:tc>
        <w:tc>
          <w:tcPr>
            <w:tcW w:type="dxa" w:w="2608"/>
            <w:shd w:val="clear" w:color="auto" w:fill="EEF3F8"/>
          </w:tcPr>
          <w:p>
            <w:r/>
            <w:r>
              <w:rPr>
                <w:sz w:val="17"/>
              </w:rPr>
              <w:t>Rule-based and static; cannot see changes made outside the code; no learned prioritisation.</w:t>
            </w:r>
          </w:p>
        </w:tc>
        <w:tc>
          <w:tcPr>
            <w:tcW w:type="dxa" w:w="2608"/>
            <w:shd w:val="clear" w:color="auto" w:fill="EEF3F8"/>
          </w:tcPr>
          <w:p>
            <w:r/>
            <w:r>
              <w:rPr>
                <w:sz w:val="17"/>
              </w:rPr>
              <w:t>No link between code-level smells and the state actually running in the cloud.</w:t>
            </w:r>
          </w:p>
        </w:tc>
      </w:tr>
      <w:tr>
        <w:trPr>
          <w:cantSplit/>
        </w:trPr>
        <w:tc>
          <w:tcPr>
            <w:tcW w:type="dxa" w:w="2041"/>
          </w:tcPr>
          <w:p>
            <w:r/>
            <w:r>
              <w:rPr>
                <w:sz w:val="17"/>
              </w:rPr>
              <w:t>[7] Opdebeeck et al. (GASEL), IEEE/ACM MSR 2023</w:t>
            </w:r>
          </w:p>
        </w:tc>
        <w:tc>
          <w:tcPr>
            <w:tcW w:type="dxa" w:w="2835"/>
          </w:tcPr>
          <w:p>
            <w:r/>
            <w:r>
              <w:rPr>
                <w:sz w:val="17"/>
              </w:rPr>
              <w:t>GASEL: graph queries over program dependence graphs of Ansible code to detect 7 security smells with control- and data-flow awareness.</w:t>
            </w:r>
          </w:p>
        </w:tc>
        <w:tc>
          <w:tcPr>
            <w:tcW w:type="dxa" w:w="2041"/>
          </w:tcPr>
          <w:p>
            <w:r/>
            <w:r>
              <w:rPr>
                <w:sz w:val="17"/>
              </w:rPr>
              <w:t>More than 15,000 Ansible scripts; oracle of 243 real security smells.</w:t>
            </w:r>
          </w:p>
        </w:tc>
        <w:tc>
          <w:tcPr>
            <w:tcW w:type="dxa" w:w="2608"/>
          </w:tcPr>
          <w:p>
            <w:r/>
            <w:r>
              <w:rPr>
                <w:sz w:val="17"/>
              </w:rPr>
              <w:t>Substantially better precision and recall than earlier detectors; shows that 55% of smells involve data-flow indirection.</w:t>
            </w:r>
          </w:p>
        </w:tc>
        <w:tc>
          <w:tcPr>
            <w:tcW w:type="dxa" w:w="2608"/>
          </w:tcPr>
          <w:p>
            <w:r/>
            <w:r>
              <w:rPr>
                <w:sz w:val="17"/>
              </w:rPr>
              <w:t>Ansible-only; static; high analysis cost (32% of smells need whole-project analysis).</w:t>
            </w:r>
          </w:p>
        </w:tc>
        <w:tc>
          <w:tcPr>
            <w:tcW w:type="dxa" w:w="2608"/>
          </w:tcPr>
          <w:p>
            <w:r/>
            <w:r>
              <w:rPr>
                <w:sz w:val="17"/>
              </w:rPr>
              <w:t>Effort is spent on deeper static analysis while runtime drift remains undetected.</w:t>
            </w:r>
          </w:p>
        </w:tc>
      </w:tr>
      <w:tr>
        <w:trPr>
          <w:cantSplit/>
        </w:trPr>
        <w:tc>
          <w:tcPr>
            <w:tcW w:type="dxa" w:w="2041"/>
            <w:shd w:val="clear" w:color="auto" w:fill="EEF3F8"/>
          </w:tcPr>
          <w:p>
            <w:r/>
            <w:r>
              <w:rPr>
                <w:sz w:val="17"/>
              </w:rPr>
              <w:t>[8] Verdet et al., Springer EMSE 2025</w:t>
            </w:r>
          </w:p>
        </w:tc>
        <w:tc>
          <w:tcPr>
            <w:tcW w:type="dxa" w:w="2835"/>
            <w:shd w:val="clear" w:color="auto" w:fill="EEF3F8"/>
          </w:tcPr>
          <w:p>
            <w:r/>
            <w:r>
              <w:rPr>
                <w:sz w:val="17"/>
              </w:rPr>
              <w:t>Mined 812 open-source Terraform projects and checked them against security policies for AWS, Azure and Google Cloud.</w:t>
            </w:r>
          </w:p>
        </w:tc>
        <w:tc>
          <w:tcPr>
            <w:tcW w:type="dxa" w:w="2041"/>
            <w:shd w:val="clear" w:color="auto" w:fill="EEF3F8"/>
          </w:tcPr>
          <w:p>
            <w:r/>
            <w:r>
              <w:rPr>
                <w:sz w:val="17"/>
              </w:rPr>
              <w:t>812 GitHub Terraform projects.</w:t>
            </w:r>
          </w:p>
        </w:tc>
        <w:tc>
          <w:tcPr>
            <w:tcW w:type="dxa" w:w="2608"/>
            <w:shd w:val="clear" w:color="auto" w:fill="EEF3F8"/>
          </w:tcPr>
          <w:p>
            <w:r/>
            <w:r>
              <w:rPr>
                <w:sz w:val="17"/>
              </w:rPr>
              <w:t>Cross-provider evidence of which security practices developers adopt or neglect (e.g. encryption, access control, logging).</w:t>
            </w:r>
          </w:p>
        </w:tc>
        <w:tc>
          <w:tcPr>
            <w:tcW w:type="dxa" w:w="2608"/>
            <w:shd w:val="clear" w:color="auto" w:fill="EEF3F8"/>
          </w:tcPr>
          <w:p>
            <w:r/>
            <w:r>
              <w:rPr>
                <w:sz w:val="17"/>
              </w:rPr>
              <w:t>Measures what is written in code, not what is deployed; no remediation.</w:t>
            </w:r>
          </w:p>
        </w:tc>
        <w:tc>
          <w:tcPr>
            <w:tcW w:type="dxa" w:w="2608"/>
            <w:shd w:val="clear" w:color="auto" w:fill="EEF3F8"/>
          </w:tcPr>
          <w:p>
            <w:r/>
            <w:r>
              <w:rPr>
                <w:sz w:val="17"/>
              </w:rPr>
              <w:t>Even code that follows the policies can drift once deployed; this is not measured.</w:t>
            </w:r>
          </w:p>
        </w:tc>
      </w:tr>
      <w:tr>
        <w:trPr>
          <w:cantSplit/>
        </w:trPr>
        <w:tc>
          <w:tcPr>
            <w:tcW w:type="dxa" w:w="2041"/>
          </w:tcPr>
          <w:p>
            <w:r/>
            <w:r>
              <w:rPr>
                <w:sz w:val="17"/>
              </w:rPr>
              <w:t>[9] Saavedra et al. (InfraFix), ACM ISSTA 2025</w:t>
            </w:r>
          </w:p>
        </w:tc>
        <w:tc>
          <w:tcPr>
            <w:tcW w:type="dxa" w:w="2835"/>
          </w:tcPr>
          <w:p>
            <w:r/>
            <w:r>
              <w:rPr>
                <w:sz w:val="17"/>
              </w:rPr>
              <w:t>SMT-based repair module plus system-call-based state inference to repair IaC scripts.</w:t>
            </w:r>
          </w:p>
        </w:tc>
        <w:tc>
          <w:tcPr>
            <w:tcW w:type="dxa" w:w="2041"/>
          </w:tcPr>
          <w:p>
            <w:r/>
            <w:r>
              <w:rPr>
                <w:sz w:val="17"/>
              </w:rPr>
              <w:t>254,288 generated repair scenarios.</w:t>
            </w:r>
          </w:p>
        </w:tc>
        <w:tc>
          <w:tcPr>
            <w:tcW w:type="dxa" w:w="2608"/>
          </w:tcPr>
          <w:p>
            <w:r/>
            <w:r>
              <w:rPr>
                <w:sz w:val="17"/>
              </w:rPr>
              <w:t>95.7% repair success; technology-agnostic; considers the observed system state.</w:t>
            </w:r>
          </w:p>
        </w:tc>
        <w:tc>
          <w:tcPr>
            <w:tcW w:type="dxa" w:w="2608"/>
          </w:tcPr>
          <w:p>
            <w:r/>
            <w:r>
              <w:rPr>
                <w:sz w:val="17"/>
              </w:rPr>
              <w:t>Repairs the script, not the running resource; evaluated on synthetic scenarios.</w:t>
            </w:r>
          </w:p>
        </w:tc>
        <w:tc>
          <w:tcPr>
            <w:tcW w:type="dxa" w:w="2608"/>
          </w:tcPr>
          <w:p>
            <w:r/>
            <w:r>
              <w:rPr>
                <w:sz w:val="17"/>
              </w:rPr>
              <w:t>No safe, policy-limited remediation of the live cloud resource itself.</w:t>
            </w:r>
          </w:p>
        </w:tc>
      </w:tr>
      <w:tr>
        <w:trPr>
          <w:cantSplit/>
        </w:trPr>
        <w:tc>
          <w:tcPr>
            <w:tcW w:type="dxa" w:w="2041"/>
            <w:shd w:val="clear" w:color="auto" w:fill="EEF3F8"/>
          </w:tcPr>
          <w:p>
            <w:r/>
            <w:r>
              <w:rPr>
                <w:sz w:val="17"/>
              </w:rPr>
              <w:t>[10] Low, Chen et al., IEEE SecDev 2024</w:t>
            </w:r>
          </w:p>
        </w:tc>
        <w:tc>
          <w:tcPr>
            <w:tcW w:type="dxa" w:w="2835"/>
            <w:shd w:val="clear" w:color="auto" w:fill="EEF3F8"/>
          </w:tcPr>
          <w:p>
            <w:r/>
            <w:r>
              <w:rPr>
                <w:sz w:val="17"/>
              </w:rPr>
              <w:t>Feeds scanner findings, IaC code and human context to GPT-4 in a two-pass prompt to generate repaired IaC.</w:t>
            </w:r>
          </w:p>
        </w:tc>
        <w:tc>
          <w:tcPr>
            <w:tcW w:type="dxa" w:w="2041"/>
            <w:shd w:val="clear" w:color="auto" w:fill="EEF3F8"/>
          </w:tcPr>
          <w:p>
            <w:r/>
            <w:r>
              <w:rPr>
                <w:sz w:val="17"/>
              </w:rPr>
              <w:t>Vulnerable open-source IaC repositories scanned with existing misconfiguration scanners.</w:t>
            </w:r>
          </w:p>
        </w:tc>
        <w:tc>
          <w:tcPr>
            <w:tcW w:type="dxa" w:w="2608"/>
            <w:shd w:val="clear" w:color="auto" w:fill="EEF3F8"/>
          </w:tcPr>
          <w:p>
            <w:r/>
            <w:r>
              <w:rPr>
                <w:sz w:val="17"/>
              </w:rPr>
              <w:t>Removes up to 84.7% of scanner alarms; two-pass prompting clearly beats one-pass.</w:t>
            </w:r>
          </w:p>
        </w:tc>
        <w:tc>
          <w:tcPr>
            <w:tcW w:type="dxa" w:w="2608"/>
            <w:shd w:val="clear" w:color="auto" w:fill="EEF3F8"/>
          </w:tcPr>
          <w:p>
            <w:r/>
            <w:r>
              <w:rPr>
                <w:sz w:val="17"/>
              </w:rPr>
              <w:t>20.4% of suggested fixes were hallucinated; needs a human in the loop; no risk ranking.</w:t>
            </w:r>
          </w:p>
        </w:tc>
        <w:tc>
          <w:tcPr>
            <w:tcW w:type="dxa" w:w="2608"/>
            <w:shd w:val="clear" w:color="auto" w:fill="EEF3F8"/>
          </w:tcPr>
          <w:p>
            <w:r/>
            <w:r>
              <w:rPr>
                <w:sz w:val="17"/>
              </w:rPr>
              <w:t>Fixes are not prioritised and are not verified against the deployed state.</w:t>
            </w:r>
          </w:p>
        </w:tc>
      </w:tr>
      <w:tr>
        <w:trPr>
          <w:cantSplit/>
        </w:trPr>
        <w:tc>
          <w:tcPr>
            <w:tcW w:type="dxa" w:w="2041"/>
          </w:tcPr>
          <w:p>
            <w:r/>
            <w:r>
              <w:rPr>
                <w:sz w:val="17"/>
              </w:rPr>
              <w:t>[11] Begoug et al., IEEE/ACM MSR 2024</w:t>
            </w:r>
          </w:p>
        </w:tc>
        <w:tc>
          <w:tcPr>
            <w:tcW w:type="dxa" w:w="2835"/>
          </w:tcPr>
          <w:p>
            <w:r/>
            <w:r>
              <w:rPr>
                <w:sz w:val="17"/>
              </w:rPr>
              <w:t>Six ML algorithms (LightGBM best) predict defective Terraform blocks from code, process and change metrics.</w:t>
            </w:r>
          </w:p>
        </w:tc>
        <w:tc>
          <w:tcPr>
            <w:tcW w:type="dxa" w:w="2041"/>
          </w:tcPr>
          <w:p>
            <w:r/>
            <w:r>
              <w:rPr>
                <w:sz w:val="17"/>
              </w:rPr>
              <w:t>19 open-source Terraform projects.</w:t>
            </w:r>
          </w:p>
        </w:tc>
        <w:tc>
          <w:tcPr>
            <w:tcW w:type="dxa" w:w="2608"/>
          </w:tcPr>
          <w:p>
            <w:r/>
            <w:r>
              <w:rPr>
                <w:sz w:val="17"/>
              </w:rPr>
              <w:t>Block-level granularity; shows ML can prioritise risky IaC changes (AUC 0.71).</w:t>
            </w:r>
          </w:p>
        </w:tc>
        <w:tc>
          <w:tcPr>
            <w:tcW w:type="dxa" w:w="2608"/>
          </w:tcPr>
          <w:p>
            <w:r/>
            <w:r>
              <w:rPr>
                <w:sz w:val="17"/>
              </w:rPr>
              <w:t>Low MCC (0.21); predicts defects in commits, not security impact of live changes; limited explainability.</w:t>
            </w:r>
          </w:p>
        </w:tc>
        <w:tc>
          <w:tcPr>
            <w:tcW w:type="dxa" w:w="2608"/>
          </w:tcPr>
          <w:p>
            <w:r/>
            <w:r>
              <w:rPr>
                <w:sz w:val="17"/>
              </w:rPr>
              <w:t>No ML model that predicts the security severity of a configuration change in the live cloud.</w:t>
            </w:r>
          </w:p>
        </w:tc>
      </w:tr>
      <w:tr>
        <w:trPr>
          <w:cantSplit/>
        </w:trPr>
        <w:tc>
          <w:tcPr>
            <w:tcW w:type="dxa" w:w="2041"/>
            <w:shd w:val="clear" w:color="auto" w:fill="EEF3F8"/>
          </w:tcPr>
          <w:p>
            <w:r/>
            <w:r>
              <w:rPr>
                <w:sz w:val="17"/>
              </w:rPr>
              <w:t>[12] Begoug et al. (TerraMetrics), IEEE/ACM ICPC 2024</w:t>
            </w:r>
          </w:p>
        </w:tc>
        <w:tc>
          <w:tcPr>
            <w:tcW w:type="dxa" w:w="2835"/>
            <w:shd w:val="clear" w:color="auto" w:fill="EEF3F8"/>
          </w:tcPr>
          <w:p>
            <w:r/>
            <w:r>
              <w:rPr>
                <w:sz w:val="17"/>
              </w:rPr>
              <w:t>Parses Terraform HCL into an AST and extracts a catalogue of 40 quality metrics as JSON.</w:t>
            </w:r>
          </w:p>
        </w:tc>
        <w:tc>
          <w:tcPr>
            <w:tcW w:type="dxa" w:w="2041"/>
            <w:shd w:val="clear" w:color="auto" w:fill="EEF3F8"/>
          </w:tcPr>
          <w:p>
            <w:r/>
            <w:r>
              <w:rPr>
                <w:sz w:val="17"/>
              </w:rPr>
              <w:t>Terraform projects (tool paper; metrics catalogue).</w:t>
            </w:r>
          </w:p>
        </w:tc>
        <w:tc>
          <w:tcPr>
            <w:tcW w:type="dxa" w:w="2608"/>
            <w:shd w:val="clear" w:color="auto" w:fill="EEF3F8"/>
          </w:tcPr>
          <w:p>
            <w:r/>
            <w:r>
              <w:rPr>
                <w:sz w:val="17"/>
              </w:rPr>
              <w:t>Reusable, open-source feature extractor for Terraform; well-defined metrics.</w:t>
            </w:r>
          </w:p>
        </w:tc>
        <w:tc>
          <w:tcPr>
            <w:tcW w:type="dxa" w:w="2608"/>
            <w:shd w:val="clear" w:color="auto" w:fill="EEF3F8"/>
          </w:tcPr>
          <w:p>
            <w:r/>
            <w:r>
              <w:rPr>
                <w:sz w:val="17"/>
              </w:rPr>
              <w:t>Quality metrics of code only; nothing about security impact or runtime state.</w:t>
            </w:r>
          </w:p>
        </w:tc>
        <w:tc>
          <w:tcPr>
            <w:tcW w:type="dxa" w:w="2608"/>
            <w:shd w:val="clear" w:color="auto" w:fill="EEF3F8"/>
          </w:tcPr>
          <w:p>
            <w:r/>
            <w:r>
              <w:rPr>
                <w:sz w:val="17"/>
              </w:rPr>
              <w:t>No equivalent feature catalogue for drift between Terraform and live AWS resources.</w:t>
            </w:r>
          </w:p>
        </w:tc>
      </w:tr>
      <w:tr>
        <w:trPr>
          <w:cantSplit/>
        </w:trPr>
        <w:tc>
          <w:tcPr>
            <w:tcW w:type="dxa" w:w="2041"/>
          </w:tcPr>
          <w:p>
            <w:r/>
            <w:r>
              <w:rPr>
                <w:sz w:val="17"/>
              </w:rPr>
              <w:t>[13] Rjoub et al., IEEE TNSM 2023</w:t>
            </w:r>
          </w:p>
        </w:tc>
        <w:tc>
          <w:tcPr>
            <w:tcW w:type="dxa" w:w="2835"/>
          </w:tcPr>
          <w:p>
            <w:r/>
            <w:r>
              <w:rPr>
                <w:sz w:val="17"/>
              </w:rPr>
              <w:t>Survey of XAI techniques (SHAP, LIME, rule extraction, attention) applied to intrusion, malware and fraud detection.</w:t>
            </w:r>
          </w:p>
        </w:tc>
        <w:tc>
          <w:tcPr>
            <w:tcW w:type="dxa" w:w="2041"/>
          </w:tcPr>
          <w:p>
            <w:r/>
            <w:r>
              <w:rPr>
                <w:sz w:val="17"/>
              </w:rPr>
              <w:t>Survey of published XAI-for-security studies.</w:t>
            </w:r>
          </w:p>
        </w:tc>
        <w:tc>
          <w:tcPr>
            <w:tcW w:type="dxa" w:w="2608"/>
          </w:tcPr>
          <w:p>
            <w:r/>
            <w:r>
              <w:rPr>
                <w:sz w:val="17"/>
              </w:rPr>
              <w:t>Argues that security analysts need explanations to trust and act on ML alerts; maps techniques to use cases.</w:t>
            </w:r>
          </w:p>
        </w:tc>
        <w:tc>
          <w:tcPr>
            <w:tcW w:type="dxa" w:w="2608"/>
          </w:tcPr>
          <w:p>
            <w:r/>
            <w:r>
              <w:rPr>
                <w:sz w:val="17"/>
              </w:rPr>
              <w:t>Cloud configuration management is not covered; no implementation.</w:t>
            </w:r>
          </w:p>
        </w:tc>
        <w:tc>
          <w:tcPr>
            <w:tcW w:type="dxa" w:w="2608"/>
          </w:tcPr>
          <w:p>
            <w:r/>
            <w:r>
              <w:rPr>
                <w:sz w:val="17"/>
              </w:rPr>
              <w:t>XAI has not been applied to configuration drift risk on cloud platforms.</w:t>
            </w:r>
          </w:p>
        </w:tc>
      </w:tr>
      <w:tr>
        <w:trPr>
          <w:cantSplit/>
        </w:trPr>
        <w:tc>
          <w:tcPr>
            <w:tcW w:type="dxa" w:w="2041"/>
            <w:shd w:val="clear" w:color="auto" w:fill="EEF3F8"/>
          </w:tcPr>
          <w:p>
            <w:r/>
            <w:r>
              <w:rPr>
                <w:sz w:val="17"/>
              </w:rPr>
              <w:t>[14] Mohale &amp; Obagbuwa, Frontiers in AI 2025</w:t>
            </w:r>
          </w:p>
        </w:tc>
        <w:tc>
          <w:tcPr>
            <w:tcW w:type="dxa" w:w="2835"/>
            <w:shd w:val="clear" w:color="auto" w:fill="EEF3F8"/>
          </w:tcPr>
          <w:p>
            <w:r/>
            <w:r>
              <w:rPr>
                <w:sz w:val="17"/>
              </w:rPr>
              <w:t>Systematic literature review of XAI methods in intrusion detection systems.</w:t>
            </w:r>
          </w:p>
        </w:tc>
        <w:tc>
          <w:tcPr>
            <w:tcW w:type="dxa" w:w="2041"/>
            <w:shd w:val="clear" w:color="auto" w:fill="EEF3F8"/>
          </w:tcPr>
          <w:p>
            <w:r/>
            <w:r>
              <w:rPr>
                <w:sz w:val="17"/>
              </w:rPr>
              <w:t>Peer-reviewed IDS + XAI studies (systematic review).</w:t>
            </w:r>
          </w:p>
        </w:tc>
        <w:tc>
          <w:tcPr>
            <w:tcW w:type="dxa" w:w="2608"/>
            <w:shd w:val="clear" w:color="auto" w:fill="EEF3F8"/>
          </w:tcPr>
          <w:p>
            <w:r/>
            <w:r>
              <w:rPr>
                <w:sz w:val="17"/>
              </w:rPr>
              <w:t>Finds tree-based and rule-based models with SHAP preferred for interpretability; identifies need for real-time explainability.</w:t>
            </w:r>
          </w:p>
        </w:tc>
        <w:tc>
          <w:tcPr>
            <w:tcW w:type="dxa" w:w="2608"/>
            <w:shd w:val="clear" w:color="auto" w:fill="EEF3F8"/>
          </w:tcPr>
          <w:p>
            <w:r/>
            <w:r>
              <w:rPr>
                <w:sz w:val="17"/>
              </w:rPr>
              <w:t>Network IDS focus; notes trade-off between accuracy and interpretability but proposes no system.</w:t>
            </w:r>
          </w:p>
        </w:tc>
        <w:tc>
          <w:tcPr>
            <w:tcW w:type="dxa" w:w="2608"/>
            <w:shd w:val="clear" w:color="auto" w:fill="EEF3F8"/>
          </w:tcPr>
          <w:p>
            <w:r/>
            <w:r>
              <w:rPr>
                <w:sz w:val="17"/>
              </w:rPr>
              <w:t>Real-time, explainable tree-based classification in a cloud operations pipeline.</w:t>
            </w:r>
          </w:p>
        </w:tc>
      </w:tr>
      <w:tr>
        <w:trPr>
          <w:cantSplit/>
        </w:trPr>
        <w:tc>
          <w:tcPr>
            <w:tcW w:type="dxa" w:w="2041"/>
          </w:tcPr>
          <w:p>
            <w:r/>
            <w:r>
              <w:rPr>
                <w:sz w:val="17"/>
              </w:rPr>
              <w:t>[15] Saleh et al., ACM CCSW 2024</w:t>
            </w:r>
          </w:p>
        </w:tc>
        <w:tc>
          <w:tcPr>
            <w:tcW w:type="dxa" w:w="2835"/>
          </w:tcPr>
          <w:p>
            <w:r/>
            <w:r>
              <w:rPr>
                <w:sz w:val="17"/>
              </w:rPr>
              <w:t>CNN + LSTM model detects anomalous network traffic in CI/CD pipelines and cloud platforms.</w:t>
            </w:r>
          </w:p>
        </w:tc>
        <w:tc>
          <w:tcPr>
            <w:tcW w:type="dxa" w:w="2041"/>
          </w:tcPr>
          <w:p>
            <w:r/>
            <w:r>
              <w:rPr>
                <w:sz w:val="17"/>
              </w:rPr>
              <w:t>Network traffic data from pipeline and cloud environments.</w:t>
            </w:r>
          </w:p>
        </w:tc>
        <w:tc>
          <w:tcPr>
            <w:tcW w:type="dxa" w:w="2608"/>
          </w:tcPr>
          <w:p>
            <w:r/>
            <w:r>
              <w:rPr>
                <w:sz w:val="17"/>
              </w:rPr>
              <w:t>High accuracy (98.69% and 98.30%) for traffic anomalies in DevOps pipelines.</w:t>
            </w:r>
          </w:p>
        </w:tc>
        <w:tc>
          <w:tcPr>
            <w:tcW w:type="dxa" w:w="2608"/>
          </w:tcPr>
          <w:p>
            <w:r/>
            <w:r>
              <w:rPr>
                <w:sz w:val="17"/>
              </w:rPr>
              <w:t>Deep models are opaque; looks at traffic, not configuration; heavy to deploy serverlessly.</w:t>
            </w:r>
          </w:p>
        </w:tc>
        <w:tc>
          <w:tcPr>
            <w:tcW w:type="dxa" w:w="2608"/>
          </w:tcPr>
          <w:p>
            <w:r/>
            <w:r>
              <w:rPr>
                <w:sz w:val="17"/>
              </w:rPr>
              <w:t>Configuration-level security changes are not monitored; model is not explainable.</w:t>
            </w:r>
          </w:p>
        </w:tc>
      </w:tr>
    </w:tbl>
    <w:p>
      <w:pPr>
        <w:spacing w:after="40"/>
      </w:pPr>
    </w:p>
    <w:p>
      <w:pPr>
        <w:pStyle w:val="Heading3"/>
      </w:pPr>
      <w:r>
        <w:t>Summary of the survey</w:t>
      </w:r>
    </w:p>
    <w:p>
      <w:pPr>
        <w:jc w:val="both"/>
      </w:pPr>
      <w:r>
        <w:rPr>
          <w:b w:val="0"/>
          <w:i w:val="0"/>
        </w:rPr>
        <w:t>The fifteen papers fall into four groups. (1) Static IaC analysis – GLITCH, GASEL, SLI-KUBE, TerraMetrics, Verdet et al. and SlsDetector – finds misconfigurations in code before deployment, but cannot see changes made afterwards. (2) Drift and state reconciliation – Thiyagarajan et al., Hassan et al. and RIVA – confirm that drift is real and common, but either do not rate how dangerous a drift is or rely on costly, non-deterministic LLM agents. (3) Automated repair – InfraFix and LLM-based repair – fix scripts, sometimes with hallucinated changes, and do not act on the live resource. (4) ML and explainability for security – Begoug et al., Saleh et al., Rjoub et al. and Mohale &amp; Obagbuwa – show that ML can prioritise risk and that analysts need explanations, yet none of them combines these with live cloud configuration. InfraDriftGuard sits at the intersection: runtime drift detection on real AWS resources, a per-change risk level from an explainable model, and a serverless, low-cost response path.</w:t>
      </w:r>
    </w:p>
    <w:p>
      <w:pPr>
        <w:pStyle w:val="Heading2"/>
      </w:pPr>
      <w:r>
        <w:t>References</w:t>
      </w:r>
    </w:p>
    <w:p>
      <w:r>
        <w:rPr>
          <w:b w:val="0"/>
          <w:i w:val="0"/>
          <w:sz w:val="19"/>
        </w:rPr>
        <w:t>[1] G. Thiyagarajan, V. Bist and P. Nayak, “AI-Driven Configuration Drift Detection in Cloud Environments,” International Journal of Communication Networks and Information Security (IJCNIS), vol. 16, no. 5, pp. 721–743, 2024. (Scopus indexed)</w:t>
      </w:r>
    </w:p>
    <w:p>
      <w:r>
        <w:rPr>
          <w:b w:val="0"/>
          <w:i w:val="0"/>
          <w:sz w:val="19"/>
        </w:rPr>
        <w:t>[2] M. M. Hassan, J. Salvador, S. K. Karmaker Santu and A. Rahman, “State Reconciliation Defects in Infrastructure as Code,” Proceedings of the ACM on Software Engineering (FSE), vol. 1, 2024.</w:t>
      </w:r>
    </w:p>
    <w:p>
      <w:r>
        <w:rPr>
          <w:b w:val="0"/>
          <w:i w:val="0"/>
          <w:sz w:val="19"/>
        </w:rPr>
        <w:t>[3] S. Abuzakuk, L. Crijns, A.-M. Kermarrec, R. Pires and M. de Vos, “RIVA: Leveraging LLM Agents for Reliable Configuration Drift Detection,” ACM, 2026 (arXiv:2603.02345).</w:t>
      </w:r>
    </w:p>
    <w:p>
      <w:r>
        <w:rPr>
          <w:b w:val="0"/>
          <w:i w:val="0"/>
          <w:sz w:val="19"/>
        </w:rPr>
        <w:t>[4] J. Wen, Z. Chen, Z. Zhu, F. Sarro, Y. Liu, H. Ping and S. Wang, “LLM-Based Misconfiguration Detection for AWS Serverless Computing,” ACM Transactions on Software Engineering and Methodology (TOSEM), vol. 35, no. 4, art. 110, 2026.</w:t>
      </w:r>
    </w:p>
    <w:p>
      <w:r>
        <w:rPr>
          <w:b w:val="0"/>
          <w:i w:val="0"/>
          <w:sz w:val="19"/>
        </w:rPr>
        <w:t>[5] A. Rahman, S. I. Shamim, D. B. Bose and R. Pandita, “Security Misconfigurations in Open Source Kubernetes Manifests: An Empirical Study,” ACM Transactions on Software Engineering and Methodology (TOSEM), vol. 32, no. 4, 2023.</w:t>
      </w:r>
    </w:p>
    <w:p>
      <w:r>
        <w:rPr>
          <w:b w:val="0"/>
          <w:i w:val="0"/>
          <w:sz w:val="19"/>
        </w:rPr>
        <w:t>[6] N. Saavedra, J. Gonçalves, M. Henriques, J. F. Ferreira and A. Mendes, “Polyglot Code Smell Detection for Infrastructure as Code with GLITCH,” Proc. 38th IEEE/ACM Int. Conf. on Automated Software Engineering (ASE), Tool Demonstrations, 2023.</w:t>
      </w:r>
    </w:p>
    <w:p>
      <w:r>
        <w:rPr>
          <w:b w:val="0"/>
          <w:i w:val="0"/>
          <w:sz w:val="19"/>
        </w:rPr>
        <w:t>[7] R. Opdebeeck, A. Zerouali and C. De Roover, “Control and Data Flow in Security Smell Detection for Infrastructure as Code: Is It Worth the Effort?,” Proc. 20th IEEE/ACM Int. Conf. on Mining Software Repositories (MSR), 2023.</w:t>
      </w:r>
    </w:p>
    <w:p>
      <w:r>
        <w:rPr>
          <w:b w:val="0"/>
          <w:i w:val="0"/>
          <w:sz w:val="19"/>
        </w:rPr>
        <w:t>[8] A. Verdet, M. Hamdaqa, L. M. P. Da Silva and F. Khomh, “Assessing the adoption of security policies by developers in Terraform across different cloud providers,” Empirical Software Engineering (Springer), vol. 30, no. 3, 2025.</w:t>
      </w:r>
    </w:p>
    <w:p>
      <w:r>
        <w:rPr>
          <w:b w:val="0"/>
          <w:i w:val="0"/>
          <w:sz w:val="19"/>
        </w:rPr>
        <w:t>[9] N. Saavedra, J. F. Ferreira and A. Mendes, “InfraFix: Technology-Agnostic Repair of Infrastructure as Code,” Proc. 34th ACM SIGSOFT Int. Symposium on Software Testing and Analysis (ISSTA), Tool Demonstrations, 2025.</w:t>
      </w:r>
    </w:p>
    <w:p>
      <w:r>
        <w:rPr>
          <w:b w:val="0"/>
          <w:i w:val="0"/>
          <w:sz w:val="19"/>
        </w:rPr>
        <w:t>[10] E. Low, B. Chen et al., “Repairing Infrastructure-as-Code using Large Language Models,” Proc. IEEE Secure Development Conference (SecDev), 2024.</w:t>
      </w:r>
    </w:p>
    <w:p>
      <w:r>
        <w:rPr>
          <w:b w:val="0"/>
          <w:i w:val="0"/>
          <w:sz w:val="19"/>
        </w:rPr>
        <w:t>[11] M. Begoug, M. Chouchen, A. Ouni, E. A. AlOmar and M. W. Mkaouer, “Fine-Grained Just-In-Time Defect Prediction at the Block Level in Infrastructure-as-Code (IaC),” Proc. 21st IEEE/ACM Int. Conf. on Mining Software Repositories (MSR), pp. 100–112, 2024.</w:t>
      </w:r>
    </w:p>
    <w:p>
      <w:r>
        <w:rPr>
          <w:b w:val="0"/>
          <w:i w:val="0"/>
          <w:sz w:val="19"/>
        </w:rPr>
        <w:t>[12] M. Begoug, M. Chouchen and A. Ouni, “TerraMetrics: An Open Source Tool for Infrastructure-as-Code (IaC) Quality Metrics in Terraform,” Proc. 32nd IEEE/ACM Int. Conf. on Program Comprehension (ICPC), Tool Demonstrations, 2024.</w:t>
      </w:r>
    </w:p>
    <w:p>
      <w:r>
        <w:rPr>
          <w:b w:val="0"/>
          <w:i w:val="0"/>
          <w:sz w:val="19"/>
        </w:rPr>
        <w:t>[13] G. Rjoub et al., “A Survey on Explainable Artificial Intelligence for Cybersecurity,” IEEE Transactions on Network and Service Management, vol. 20, no. 4, pp. 5115–5140, 2023.</w:t>
      </w:r>
    </w:p>
    <w:p>
      <w:r>
        <w:rPr>
          <w:b w:val="0"/>
          <w:i w:val="0"/>
          <w:sz w:val="19"/>
        </w:rPr>
        <w:t>[14] V. Z. Mohale and I. C. Obagbuwa, “A systematic review on the integration of explainable artificial intelligence in intrusion detection systems to enhancing transparency and interpretability in cybersecurity,” Frontiers in Artificial Intelligence, vol. 8, 2025, doi:10.3389/frai.2025.1526221.</w:t>
      </w:r>
    </w:p>
    <w:p>
      <w:r>
        <w:rPr>
          <w:b w:val="0"/>
          <w:i w:val="0"/>
          <w:sz w:val="19"/>
        </w:rPr>
        <w:t>[15] S. M. Saleh, I. M. Sayem, N. Madhavji and J. Steinbacher, “Advancing Software Security and Reliability in Cloud Platforms through AI-based Anomaly Detection,” Proc. ACM Cloud Computing Security Workshop (CCSW), 2024.</w:t>
      </w:r>
    </w:p>
    <w:sectPr w:rsidR="00FC693F" w:rsidRPr="0006063C" w:rsidSect="00034616">
      <w:footerReference w:type="default" r:id="rId9"/>
      <w:pgSz w:w="16838" w:h="11906" w:orient="landscape"/>
      <w:pgMar w:top="1134" w:right="907" w:bottom="113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