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98.0" w:type="dxa"/>
        <w:jc w:val="left"/>
        <w:tblInd w:w="-100.0" w:type="dxa"/>
        <w:tblLayout w:type="fixed"/>
        <w:tblLook w:val="06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3009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spacing w:line="276" w:lineRule="auto"/>
              <w:jc w:val="right"/>
              <w:rPr>
                <w:rFonts w:ascii="Century Gothic" w:cs="Century Gothic" w:eastAsia="Century Gothic" w:hAnsi="Century Gothic"/>
                <w:color w:val="24262b"/>
                <w:sz w:val="96"/>
                <w:szCs w:val="9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731200" cy="45212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452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96"/>
                <w:szCs w:val="96"/>
                <w:rtl w:val="0"/>
              </w:rPr>
              <w:t xml:space="preserve">Test Incident Report  Document 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666750</wp:posOffset>
                  </wp:positionH>
                  <wp:positionV relativeFrom="paragraph">
                    <wp:posOffset>48375</wp:posOffset>
                  </wp:positionV>
                  <wp:extent cx="4762500" cy="4481396"/>
                  <wp:effectExtent b="0" l="0" r="0" t="0"/>
                  <wp:wrapNone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4813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spacing w:line="276" w:lineRule="auto"/>
              <w:jc w:val="right"/>
              <w:rPr>
                <w:rFonts w:ascii="Century Gothic" w:cs="Century Gothic" w:eastAsia="Century Gothic" w:hAnsi="Century Gothic"/>
                <w:color w:val="24262b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e91e63"/>
                <w:sz w:val="96"/>
                <w:szCs w:val="96"/>
                <w:rtl w:val="0"/>
              </w:rPr>
              <w:t xml:space="preserve">Rojina Review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76" w:lineRule="auto"/>
              <w:jc w:val="right"/>
              <w:rPr>
                <w:rFonts w:ascii="Garamond" w:cs="Garamond" w:eastAsia="Garamond" w:hAnsi="Garamond"/>
                <w:color w:val="24262b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270.0" w:type="dxa"/>
              <w:jc w:val="righ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180"/>
              <w:gridCol w:w="6090"/>
              <w:tblGridChange w:id="0">
                <w:tblGrid>
                  <w:gridCol w:w="3180"/>
                  <w:gridCol w:w="609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5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Riferimento</w:t>
                  </w:r>
                </w:p>
              </w:tc>
              <w:tc>
                <w:tcPr>
                  <w:tcBorders>
                    <w:top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6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7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Versione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2.0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Data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18/01/2023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Destinatario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Carmine Gravino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Presentato da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tabs>
                      <w:tab w:val="left" w:leader="none" w:pos="1910"/>
                    </w:tabs>
                    <w:spacing w:after="160" w:line="259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color w:val="24262b"/>
                      <w:sz w:val="26"/>
                      <w:szCs w:val="26"/>
                      <w:rtl w:val="0"/>
                    </w:rPr>
                    <w:t xml:space="preserve">Carmine Iemmino (0512109893), Andrea Vitolo (0512109776), Carmine Pio Nardo (0512110148)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  <w:rtl w:val="0"/>
                    </w:rPr>
                    <w:t xml:space="preserve">Approvato da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color w:val="24262b"/>
                      <w:sz w:val="40"/>
                      <w:szCs w:val="4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1">
            <w:pPr>
              <w:spacing w:line="276" w:lineRule="auto"/>
              <w:jc w:val="right"/>
              <w:rPr>
                <w:rFonts w:ascii="Garamond" w:cs="Garamond" w:eastAsia="Garamond" w:hAnsi="Garamond"/>
                <w:color w:val="24262b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keepNext w:val="1"/>
        <w:keepLines w:val="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9qrio2wlxdwu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keepLines w:val="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sm208t2iq53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h410145y2vu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o7oprs1dnwi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keepLines w:val="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w9etq933ybt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e4aq7na6bd7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f3i0hzxcvcs" w:id="6"/>
      <w:bookmarkEnd w:id="6"/>
      <w:r w:rsidDel="00000000" w:rsidR="00000000" w:rsidRPr="00000000">
        <w:rPr>
          <w:rFonts w:ascii="Century Gothic" w:cs="Century Gothic" w:eastAsia="Century Gothic" w:hAnsi="Century Gothic"/>
          <w:b w:val="1"/>
          <w:color w:val="24262b"/>
          <w:sz w:val="32"/>
          <w:szCs w:val="32"/>
          <w:rtl w:val="0"/>
        </w:rPr>
        <w:t xml:space="preserve">Team members</w:t>
      </w:r>
    </w:p>
    <w:tbl>
      <w:tblPr>
        <w:tblStyle w:val="Table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  <w:u w:val="single"/>
                <w:rtl w:val="0"/>
              </w:rPr>
              <w:t xml:space="preserve">Nome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  <w:u w:val="single"/>
                <w:rtl w:val="0"/>
              </w:rPr>
              <w:t xml:space="preserve">Ruolo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  <w:u w:val="single"/>
                <w:rtl w:val="0"/>
              </w:rPr>
              <w:t xml:space="preserve">Acronimo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  <w:rtl w:val="0"/>
              </w:rPr>
              <w:t xml:space="preserve">Carmine Iemmino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4262b"/>
                <w:sz w:val="28"/>
                <w:szCs w:val="28"/>
                <w:rtl w:val="0"/>
              </w:rPr>
              <w:t xml:space="preserve">CI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  <w:rtl w:val="0"/>
              </w:rPr>
              <w:t xml:space="preserve">Andrea Vitolo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4262b"/>
                <w:sz w:val="28"/>
                <w:szCs w:val="28"/>
                <w:rtl w:val="0"/>
              </w:rPr>
              <w:t xml:space="preserve">AV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  <w:rtl w:val="0"/>
              </w:rPr>
              <w:t xml:space="preserve">Carmine Pio Nardo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8"/>
                <w:szCs w:val="28"/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24262b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4262b"/>
                <w:sz w:val="28"/>
                <w:szCs w:val="28"/>
                <w:rtl w:val="0"/>
              </w:rPr>
              <w:t xml:space="preserve">CPN</w:t>
            </w:r>
          </w:p>
        </w:tc>
      </w:tr>
    </w:tbl>
    <w:p w:rsidR="00000000" w:rsidDel="00000000" w:rsidP="00000000" w:rsidRDefault="00000000" w:rsidRPr="00000000" w14:paraId="00000029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f2tvtk16f0s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wgnrfbaokpl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240" w:before="240" w:line="276" w:lineRule="auto"/>
        <w:rPr>
          <w:rFonts w:ascii="Century Gothic" w:cs="Century Gothic" w:eastAsia="Century Gothic" w:hAnsi="Century Gothic"/>
          <w:b w:val="1"/>
          <w:color w:val="24262b"/>
          <w:sz w:val="32"/>
          <w:szCs w:val="32"/>
        </w:rPr>
      </w:pPr>
      <w:bookmarkStart w:colFirst="0" w:colLast="0" w:name="_k19etdfglk5j" w:id="9"/>
      <w:bookmarkEnd w:id="9"/>
      <w:r w:rsidDel="00000000" w:rsidR="00000000" w:rsidRPr="00000000">
        <w:rPr>
          <w:rFonts w:ascii="Century Gothic" w:cs="Century Gothic" w:eastAsia="Century Gothic" w:hAnsi="Century Gothic"/>
          <w:b w:val="1"/>
          <w:color w:val="24262b"/>
          <w:sz w:val="32"/>
          <w:szCs w:val="32"/>
          <w:rtl w:val="0"/>
        </w:rPr>
        <w:t xml:space="preserve">Revision History</w:t>
      </w:r>
    </w:p>
    <w:tbl>
      <w:tblPr>
        <w:tblStyle w:val="Table4"/>
        <w:tblW w:w="94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5"/>
        <w:gridCol w:w="1635"/>
        <w:gridCol w:w="3135"/>
        <w:gridCol w:w="2310"/>
        <w:tblGridChange w:id="0">
          <w:tblGrid>
            <w:gridCol w:w="2355"/>
            <w:gridCol w:w="1635"/>
            <w:gridCol w:w="3135"/>
            <w:gridCol w:w="231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="276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="276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="276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Descrizione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="276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Autori</w:t>
            </w:r>
          </w:p>
        </w:tc>
      </w:tr>
      <w:tr>
        <w:trPr>
          <w:cantSplit w:val="0"/>
          <w:trHeight w:val="1475.19287109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="276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14/01/2022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="276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0.1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="276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Prima stesura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="276" w:lineRule="auto"/>
              <w:jc w:val="center"/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  <w:rtl w:val="0"/>
              </w:rPr>
              <w:t xml:space="preserve">CI, AV, CPN</w:t>
            </w:r>
          </w:p>
        </w:tc>
      </w:tr>
      <w:tr>
        <w:trPr>
          <w:cantSplit w:val="0"/>
          <w:trHeight w:val="1475.19287109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18/01/2022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jc w:val="center"/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24262b"/>
                <w:sz w:val="26"/>
                <w:szCs w:val="26"/>
                <w:rtl w:val="0"/>
              </w:rPr>
              <w:t xml:space="preserve">Revisione Finale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jc w:val="center"/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24262b"/>
                <w:sz w:val="26"/>
                <w:szCs w:val="26"/>
                <w:rtl w:val="0"/>
              </w:rPr>
              <w:t xml:space="preserve">CI,CPN,AV</w:t>
            </w:r>
          </w:p>
        </w:tc>
      </w:tr>
    </w:tbl>
    <w:p w:rsidR="00000000" w:rsidDel="00000000" w:rsidP="00000000" w:rsidRDefault="00000000" w:rsidRPr="00000000" w14:paraId="00000046">
      <w:pPr>
        <w:spacing w:line="276" w:lineRule="auto"/>
        <w:rPr>
          <w:rFonts w:ascii="Century Gothic" w:cs="Century Gothic" w:eastAsia="Century Gothic" w:hAnsi="Century Gothic"/>
          <w:color w:val="24262b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C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Century Gothic" w:cs="Century Gothic" w:eastAsia="Century Gothic" w:hAnsi="Century Gothic"/>
              <w:sz w:val="18"/>
              <w:szCs w:val="1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3i0hzxcvcs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Team members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_f3i0hzxcvcs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sz w:val="18"/>
              <w:szCs w:val="18"/>
            </w:rPr>
          </w:pPr>
          <w:hyperlink w:anchor="_k19etdfglk5j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Revision History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_k19etdfglk5j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sz w:val="18"/>
              <w:szCs w:val="18"/>
            </w:rPr>
          </w:pPr>
          <w:hyperlink w:anchor="_bgyujv84xait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1.Introduzione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_bgyujv84xait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sz w:val="18"/>
              <w:szCs w:val="18"/>
            </w:rPr>
          </w:pPr>
          <w:hyperlink w:anchor="_uypxg22u9jcx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2 Scopo del documento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_uypxg22u9jcx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sz w:val="18"/>
              <w:szCs w:val="18"/>
            </w:rPr>
          </w:pPr>
          <w:hyperlink w:anchor="_7ogm0badfo3w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3 Relazione con altri documenti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_7ogm0badfo3w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sz w:val="18"/>
              <w:szCs w:val="18"/>
            </w:rPr>
          </w:pPr>
          <w:hyperlink w:anchor="_wttikcnsdi97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4 Ambiente di esecuzione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_wttikcnsdi97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Century Gothic" w:cs="Century Gothic" w:eastAsia="Century Gothic" w:hAnsi="Century Gothic"/>
              <w:sz w:val="18"/>
              <w:szCs w:val="18"/>
            </w:rPr>
          </w:pPr>
          <w:hyperlink w:anchor="_jl2jeihw1s8b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18"/>
                <w:szCs w:val="18"/>
                <w:rtl w:val="0"/>
              </w:rPr>
              <w:t xml:space="preserve">5.Test incident report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ab/>
          </w:r>
          <w:r w:rsidDel="00000000" w:rsidR="00000000" w:rsidRPr="00000000">
            <w:fldChar w:fldCharType="begin"/>
            <w:instrText xml:space="preserve"> PAGEREF _jl2jeihw1s8b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18"/>
              <w:szCs w:val="18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3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entury Gothic" w:cs="Century Gothic" w:eastAsia="Century Gothic" w:hAnsi="Century Gothic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bgyujv84xait" w:id="10"/>
      <w:bookmarkEnd w:id="10"/>
      <w:r w:rsidDel="00000000" w:rsidR="00000000" w:rsidRPr="00000000">
        <w:rPr>
          <w:rtl w:val="0"/>
        </w:rPr>
        <w:t xml:space="preserve">1.Introduzione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Century Gothic" w:cs="Century Gothic" w:eastAsia="Century Gothic" w:hAnsi="Century Gothic"/>
          <w:color w:val="24262b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color w:val="24262b"/>
          <w:sz w:val="26"/>
          <w:szCs w:val="26"/>
          <w:rtl w:val="0"/>
        </w:rPr>
        <w:t xml:space="preserve">Attualmente sono presenti numerosi sistemi software di questo tipo, con solo una componente giornalistica, ma davvero pochi che permettano anche di acquistare merchandising relativo ai videogiochi.</w:t>
      </w:r>
    </w:p>
    <w:p w:rsidR="00000000" w:rsidDel="00000000" w:rsidP="00000000" w:rsidRDefault="00000000" w:rsidRPr="00000000" w14:paraId="00000078">
      <w:pPr>
        <w:spacing w:after="240" w:before="240" w:line="276" w:lineRule="auto"/>
        <w:rPr>
          <w:rFonts w:ascii="Century Gothic" w:cs="Century Gothic" w:eastAsia="Century Gothic" w:hAnsi="Century Gothic"/>
          <w:b w:val="1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24262b"/>
          <w:sz w:val="26"/>
          <w:szCs w:val="26"/>
          <w:rtl w:val="0"/>
        </w:rPr>
        <w:t xml:space="preserve">Per raggiungere gli obiettivi si intende creare un sistema software in cui ospitare le notizie e recensioni che possono aiutare l’utente videogiocatore nella decisione di quali videogiochi comprare, confrontandosi eventualmente con altri utenti nella sezione commenti e soddisfare il collezionismo attraverso l’acquisto di gadget e indumenti appartenenti al mondo videoludico.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uypxg22u9jcx" w:id="11"/>
      <w:bookmarkEnd w:id="11"/>
      <w:r w:rsidDel="00000000" w:rsidR="00000000" w:rsidRPr="00000000">
        <w:rPr>
          <w:rtl w:val="0"/>
        </w:rPr>
        <w:t xml:space="preserve">2 Scopo del documento</w:t>
      </w:r>
    </w:p>
    <w:p w:rsidR="00000000" w:rsidDel="00000000" w:rsidP="00000000" w:rsidRDefault="00000000" w:rsidRPr="00000000" w14:paraId="0000007A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Tale documento consiste in un report dell’esito dell’esecuzione dei test di sistema progettati nel Test Plan e nel Test Case Specification. Per motivi di leggibilità, il vero report consiste in un foglio di lavoro consegnato in allegato al presente documento e il cui link è inserito nelle successive sezioni. </w:t>
      </w:r>
    </w:p>
    <w:p w:rsidR="00000000" w:rsidDel="00000000" w:rsidP="00000000" w:rsidRDefault="00000000" w:rsidRPr="00000000" w14:paraId="0000007B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7ogm0badfo3w" w:id="12"/>
      <w:bookmarkEnd w:id="12"/>
      <w:r w:rsidDel="00000000" w:rsidR="00000000" w:rsidRPr="00000000">
        <w:rPr>
          <w:rtl w:val="0"/>
        </w:rPr>
        <w:t xml:space="preserve">3 Relazione con altri documenti</w:t>
      </w:r>
    </w:p>
    <w:p w:rsidR="00000000" w:rsidDel="00000000" w:rsidP="00000000" w:rsidRDefault="00000000" w:rsidRPr="00000000" w14:paraId="00000089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Di seguito la relazione di tale documento con gli altri documenti di testing. </w:t>
      </w:r>
    </w:p>
    <w:p w:rsidR="00000000" w:rsidDel="00000000" w:rsidP="00000000" w:rsidRDefault="00000000" w:rsidRPr="00000000" w14:paraId="0000008A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Test Plan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Nel Test Plan sono state specificate le modalità di esecuzione dei test da cui deriva tale report. Oltre ciò, nel Plan sono stati inseriti i test Frame del Category Partition per l’esecuzione dei test da cui deriva tale report. </w:t>
      </w:r>
    </w:p>
    <w:p w:rsidR="00000000" w:rsidDel="00000000" w:rsidP="00000000" w:rsidRDefault="00000000" w:rsidRPr="00000000" w14:paraId="0000008C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Test Case Specification </w:t>
      </w:r>
    </w:p>
    <w:p w:rsidR="00000000" w:rsidDel="00000000" w:rsidP="00000000" w:rsidRDefault="00000000" w:rsidRPr="00000000" w14:paraId="0000008D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Nel seguente report sono riportati i risultati dell’esecuzione dei test di sistema descritti nel documento di Test Case Specification. </w:t>
      </w:r>
    </w:p>
    <w:p w:rsidR="00000000" w:rsidDel="00000000" w:rsidP="00000000" w:rsidRDefault="00000000" w:rsidRPr="00000000" w14:paraId="0000008E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Test Summary Report</w:t>
      </w:r>
    </w:p>
    <w:p w:rsidR="00000000" w:rsidDel="00000000" w:rsidP="00000000" w:rsidRDefault="00000000" w:rsidRPr="00000000" w14:paraId="0000008F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Il Test Summary Report è stato costruito dopo il presente documento e contiene un sunto comprendente anche l’esito dei test il cui report è riportato nel presente documento.</w:t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wttikcnsdi97" w:id="13"/>
      <w:bookmarkEnd w:id="13"/>
      <w:r w:rsidDel="00000000" w:rsidR="00000000" w:rsidRPr="00000000">
        <w:rPr>
          <w:rtl w:val="0"/>
        </w:rPr>
        <w:t xml:space="preserve">4 Ambiente di esecuzione</w:t>
      </w:r>
    </w:p>
    <w:p w:rsidR="00000000" w:rsidDel="00000000" w:rsidP="00000000" w:rsidRDefault="00000000" w:rsidRPr="00000000" w14:paraId="00000091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Per l’esecuzione del test di sistema, l’applicativo è stato eseguito in localhost e i test sono stati eseguiti, automaticamente, tramite l’uso del plugin per Google Chrome Selenium IDE, o mano ove necessario. Selenium IDE consente di registrare le operazioni dell’utente sulla GUI del sistema e riprodurle in seguito con eventualmente alcune modifiche fatte a mano dai tester per ciò che concerne i campi descrittivi e i check di verifica, quali asserts e simili.</w:t>
      </w:r>
    </w:p>
    <w:p w:rsidR="00000000" w:rsidDel="00000000" w:rsidP="00000000" w:rsidRDefault="00000000" w:rsidRPr="00000000" w14:paraId="00000092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Per eseguire i test di unità invece è stato utilizzato Mockito per simulare la ricezione dei vari parametri tramite i mock di HTTPRequest, HTTPResponse ed HTTPSession.</w:t>
      </w:r>
    </w:p>
    <w:p w:rsidR="00000000" w:rsidDel="00000000" w:rsidP="00000000" w:rsidRDefault="00000000" w:rsidRPr="00000000" w14:paraId="00000093">
      <w:pPr>
        <w:rPr>
          <w:rFonts w:ascii="Century Gothic" w:cs="Century Gothic" w:eastAsia="Century Gothic" w:hAnsi="Century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entury Gothic" w:cs="Century Gothic" w:eastAsia="Century Gothic" w:hAnsi="Century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entury Gothic" w:cs="Century Gothic" w:eastAsia="Century Gothic" w:hAnsi="Century Gothic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rPr/>
      </w:pPr>
      <w:bookmarkStart w:colFirst="0" w:colLast="0" w:name="_2fhkjo4wae3y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rPr/>
      </w:pPr>
      <w:bookmarkStart w:colFirst="0" w:colLast="0" w:name="_jl2jeihw1s8b" w:id="15"/>
      <w:bookmarkEnd w:id="15"/>
      <w:r w:rsidDel="00000000" w:rsidR="00000000" w:rsidRPr="00000000">
        <w:rPr>
          <w:rtl w:val="0"/>
        </w:rPr>
        <w:t xml:space="preserve">5.Test incident report</w:t>
      </w:r>
    </w:p>
    <w:p w:rsidR="00000000" w:rsidDel="00000000" w:rsidP="00000000" w:rsidRDefault="00000000" w:rsidRPr="00000000" w14:paraId="00000098">
      <w:pPr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Modifica Prodotto</w:t>
      </w:r>
    </w:p>
    <w:p w:rsidR="00000000" w:rsidDel="00000000" w:rsidP="00000000" w:rsidRDefault="00000000" w:rsidRPr="00000000" w14:paraId="00000099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Esecuzione 1</w:t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TI_4.1_5_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TI_4.1_6_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TI_4.1_7_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TI_4.1_8_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0C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Esecuzione 2</w:t>
      </w: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15"/>
        <w:tblGridChange w:id="0">
          <w:tblGrid>
            <w:gridCol w:w="1800"/>
            <w:gridCol w:w="1920"/>
            <w:gridCol w:w="1680"/>
            <w:gridCol w:w="1800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TI_4.1_5_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Passed**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TI_4.1_6_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TI_4.1_7_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TC_4.1_8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TI_4.1_8_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0F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Inserimento recensione</w:t>
      </w:r>
    </w:p>
    <w:p w:rsidR="00000000" w:rsidDel="00000000" w:rsidP="00000000" w:rsidRDefault="00000000" w:rsidRPr="00000000" w14:paraId="000000FA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Esecuzione 1</w:t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TC_3.1_5_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TC_3.1_6_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TC_3.1_7_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TC_3.1_8_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TC_3.1_9_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TC_3.1_10_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TC_3.1_15_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14B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Esecuzione 2</w:t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TC_3.1_5_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TC_3.1_6_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TC_3.1_7_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TC_3.1_8_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TC_3.1_9_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TC_3.1_10_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TC_3.1_15_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1A4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Segnalazione commento</w:t>
      </w:r>
    </w:p>
    <w:p w:rsidR="00000000" w:rsidDel="00000000" w:rsidP="00000000" w:rsidRDefault="00000000" w:rsidRPr="00000000" w14:paraId="000001AE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Esecuzione 1</w:t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 2.2_1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 2.2_1_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 2.2_2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 2.2_2_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TC_2.2_5_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TC_2.2_6_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1D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Esecuzione 2</w:t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 2.2_1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 2.2_1_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 2.2_2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 2.2_2_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TC_2.2_5_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TC_2.2_6_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1F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Registrazione videogiocatore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Esecuzione 1</w:t>
      </w:r>
    </w:p>
    <w:p w:rsidR="00000000" w:rsidDel="00000000" w:rsidP="00000000" w:rsidRDefault="00000000" w:rsidRPr="00000000" w14:paraId="00000204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TC_1.1_2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21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Esecuzione 2</w:t>
      </w:r>
    </w:p>
    <w:p w:rsidR="00000000" w:rsidDel="00000000" w:rsidP="00000000" w:rsidRDefault="00000000" w:rsidRPr="00000000" w14:paraId="00000220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TC_1.1_2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23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Inserimento commento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Esecuzione 1</w:t>
      </w: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TC_1.1_2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_1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25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Esecuzione 2</w:t>
      </w:r>
    </w:p>
    <w:p w:rsidR="00000000" w:rsidDel="00000000" w:rsidP="00000000" w:rsidRDefault="00000000" w:rsidRPr="00000000" w14:paraId="00000260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TC_1.1_2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_2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TC_1.1_3_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27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Inserimento voto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Esecuzione 1</w:t>
      </w: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29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Esecuzione 2</w:t>
      </w:r>
    </w:p>
    <w:p w:rsidR="00000000" w:rsidDel="00000000" w:rsidP="00000000" w:rsidRDefault="00000000" w:rsidRPr="00000000" w14:paraId="000002A1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TC_2.3_1_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CI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2B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Inserimento metodo di pagamento durante ordine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Esecuzione 1</w:t>
      </w: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17/01/2023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2E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Esecuzione 2</w:t>
      </w:r>
    </w:p>
    <w:p w:rsidR="00000000" w:rsidDel="00000000" w:rsidP="00000000" w:rsidRDefault="00000000" w:rsidRPr="00000000" w14:paraId="000002E7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920"/>
        <w:gridCol w:w="1680"/>
        <w:gridCol w:w="1800"/>
        <w:gridCol w:w="1800"/>
        <w:tblGridChange w:id="0">
          <w:tblGrid>
            <w:gridCol w:w="1800"/>
            <w:gridCol w:w="1920"/>
            <w:gridCol w:w="1680"/>
            <w:gridCol w:w="1800"/>
            <w:gridCol w:w="1800"/>
          </w:tblGrid>
        </w:tblGridChange>
      </w:tblGrid>
      <w:tr>
        <w:trPr>
          <w:cantSplit w:val="0"/>
          <w:tblHeader w:val="0"/>
        </w:trPr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Incident ID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Tester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Esito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TC_2.4_1_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TC_2.4_2_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TC_2.4_3_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6"/>
                <w:szCs w:val="26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6"/>
                <w:szCs w:val="26"/>
                <w:rtl w:val="0"/>
              </w:rPr>
              <w:t xml:space="preserve">TC_2.4_4_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6"/>
                <w:szCs w:val="2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AV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18/01/2023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Passed</w:t>
            </w:r>
          </w:p>
        </w:tc>
      </w:tr>
    </w:tbl>
    <w:p w:rsidR="00000000" w:rsidDel="00000000" w:rsidP="00000000" w:rsidRDefault="00000000" w:rsidRPr="00000000" w14:paraId="0000030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32"/>
          <w:szCs w:val="32"/>
          <w:rtl w:val="0"/>
        </w:rPr>
        <w:t xml:space="preserve">Esecuzione dei testing di unità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InviaSegnalazioneServlet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</w:rPr>
        <w:drawing>
          <wp:inline distB="114300" distT="114300" distL="114300" distR="114300">
            <wp:extent cx="3524250" cy="15811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00"/>
        <w:gridCol w:w="5280"/>
        <w:tblGridChange w:id="0">
          <w:tblGrid>
            <w:gridCol w:w="3600"/>
            <w:gridCol w:w="5280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spacing w:after="240" w:befor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Test Case ID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spacing w:after="240" w:befor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TC_2.2_2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240" w:befor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after="240" w:befor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16/01/2023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after="240" w:befor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Output atteso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after="240" w:befor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Error code -noComment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after="240" w:befor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Output del sistema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after="240" w:befor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Error code -nessuno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91e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after="240" w:before="240" w:lineRule="auto"/>
              <w:rPr>
                <w:rFonts w:ascii="Century Gothic" w:cs="Century Gothic" w:eastAsia="Century Gothic" w:hAnsi="Century Gothic"/>
                <w:b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Errore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after="240" w:before="240" w:lineRule="auto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Il sistema non ha rilevato l’errore nei dati in input</w:t>
            </w:r>
          </w:p>
        </w:tc>
      </w:tr>
    </w:tbl>
    <w:p w:rsidR="00000000" w:rsidDel="00000000" w:rsidP="00000000" w:rsidRDefault="00000000" w:rsidRPr="00000000" w14:paraId="0000031F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RegistrationVideogamer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Servlet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</w:rPr>
        <w:drawing>
          <wp:inline distB="114300" distT="114300" distL="114300" distR="114300">
            <wp:extent cx="3829050" cy="1905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InserimentoCommento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Servlet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</w:rPr>
        <w:drawing>
          <wp:inline distB="114300" distT="114300" distL="114300" distR="114300">
            <wp:extent cx="3829050" cy="1638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C">
    <w:pPr>
      <w:tabs>
        <w:tab w:val="center" w:leader="none" w:pos="4819"/>
        <w:tab w:val="right" w:leader="none" w:pos="9638"/>
      </w:tabs>
      <w:spacing w:line="240" w:lineRule="auto"/>
      <w:rPr>
        <w:rFonts w:ascii="Century Gothic" w:cs="Century Gothic" w:eastAsia="Century Gothic" w:hAnsi="Century Gothic"/>
        <w:color w:val="1f4e79"/>
        <w:sz w:val="36"/>
        <w:szCs w:val="36"/>
        <w:u w:val="single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TIR Rojina Review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D">
    <w:pPr>
      <w:tabs>
        <w:tab w:val="center" w:leader="none" w:pos="4819"/>
        <w:tab w:val="right" w:leader="none" w:pos="9638"/>
      </w:tabs>
      <w:spacing w:line="240" w:lineRule="auto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V2.0</w:t>
    </w:r>
  </w:p>
  <w:p w:rsidR="00000000" w:rsidDel="00000000" w:rsidP="00000000" w:rsidRDefault="00000000" w:rsidRPr="00000000" w14:paraId="0000032E">
    <w:pPr>
      <w:tabs>
        <w:tab w:val="center" w:leader="none" w:pos="4819"/>
        <w:tab w:val="right" w:leader="none" w:pos="9638"/>
      </w:tabs>
      <w:spacing w:line="240" w:lineRule="auto"/>
      <w:jc w:val="right"/>
      <w:rPr>
        <w:rFonts w:ascii="Roboto" w:cs="Roboto" w:eastAsia="Roboto" w:hAnsi="Roboto"/>
        <w:color w:val="4007a2"/>
        <w:sz w:val="30"/>
        <w:szCs w:val="30"/>
      </w:rPr>
    </w:pP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27">
    <w:pPr>
      <w:tabs>
        <w:tab w:val="center" w:leader="none" w:pos="4819"/>
        <w:tab w:val="right" w:leader="none" w:pos="9638"/>
      </w:tabs>
      <w:spacing w:line="240" w:lineRule="auto"/>
      <w:rPr>
        <w:rFonts w:ascii="Calibri" w:cs="Calibri" w:eastAsia="Calibri" w:hAnsi="Calibri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-3808</wp:posOffset>
          </wp:positionH>
          <wp:positionV relativeFrom="paragraph">
            <wp:posOffset>0</wp:posOffset>
          </wp:positionV>
          <wp:extent cx="868045" cy="868045"/>
          <wp:effectExtent b="0" l="0" r="0" t="0"/>
          <wp:wrapSquare wrapText="bothSides" distB="0" distT="0" distL="114300" distR="11430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8045" cy="86804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328">
    <w:pPr>
      <w:tabs>
        <w:tab w:val="center" w:leader="none" w:pos="4819"/>
        <w:tab w:val="right" w:leader="none" w:pos="9638"/>
      </w:tabs>
      <w:spacing w:line="240" w:lineRule="auto"/>
      <w:jc w:val="center"/>
      <w:rPr>
        <w:rFonts w:ascii="Calibri" w:cs="Calibri" w:eastAsia="Calibri" w:hAnsi="Calibri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9">
    <w:pPr>
      <w:tabs>
        <w:tab w:val="center" w:leader="none" w:pos="4819"/>
        <w:tab w:val="right" w:leader="none" w:pos="9638"/>
      </w:tabs>
      <w:spacing w:line="240" w:lineRule="auto"/>
      <w:jc w:val="center"/>
      <w:rPr>
        <w:rFonts w:ascii="Century Gothic" w:cs="Century Gothic" w:eastAsia="Century Gothic" w:hAnsi="Century Gothic"/>
        <w:sz w:val="24"/>
        <w:szCs w:val="24"/>
      </w:rPr>
    </w:pPr>
    <w:r w:rsidDel="00000000" w:rsidR="00000000" w:rsidRPr="00000000">
      <w:rPr>
        <w:rFonts w:ascii="Century Gothic" w:cs="Century Gothic" w:eastAsia="Century Gothic" w:hAnsi="Century Gothic"/>
        <w:sz w:val="24"/>
        <w:szCs w:val="24"/>
        <w:rtl w:val="0"/>
      </w:rPr>
      <w:t xml:space="preserve">Laurea Triennale in Informatica-Università di Salerno</w:t>
    </w:r>
  </w:p>
  <w:p w:rsidR="00000000" w:rsidDel="00000000" w:rsidP="00000000" w:rsidRDefault="00000000" w:rsidRPr="00000000" w14:paraId="0000032A">
    <w:pPr>
      <w:tabs>
        <w:tab w:val="center" w:leader="none" w:pos="4819"/>
        <w:tab w:val="right" w:leader="none" w:pos="9638"/>
      </w:tabs>
      <w:spacing w:line="240" w:lineRule="auto"/>
      <w:jc w:val="center"/>
      <w:rPr/>
    </w:pPr>
    <w:r w:rsidDel="00000000" w:rsidR="00000000" w:rsidRPr="00000000">
      <w:rPr>
        <w:rFonts w:ascii="Century Gothic" w:cs="Century Gothic" w:eastAsia="Century Gothic" w:hAnsi="Century Gothic"/>
        <w:sz w:val="24"/>
        <w:szCs w:val="24"/>
        <w:rtl w:val="0"/>
      </w:rPr>
      <w:t xml:space="preserve">Corso di </w:t>
    </w:r>
    <w:r w:rsidDel="00000000" w:rsidR="00000000" w:rsidRPr="00000000">
      <w:rPr>
        <w:rFonts w:ascii="Century Gothic" w:cs="Century Gothic" w:eastAsia="Century Gothic" w:hAnsi="Century Gothic"/>
        <w:i w:val="1"/>
        <w:sz w:val="24"/>
        <w:szCs w:val="24"/>
        <w:rtl w:val="0"/>
      </w:rPr>
      <w:t xml:space="preserve">Ingegneria del Software</w:t>
    </w:r>
    <w:r w:rsidDel="00000000" w:rsidR="00000000" w:rsidRPr="00000000">
      <w:rPr>
        <w:rFonts w:ascii="Century Gothic" w:cs="Century Gothic" w:eastAsia="Century Gothic" w:hAnsi="Century Gothic"/>
        <w:sz w:val="24"/>
        <w:szCs w:val="24"/>
        <w:rtl w:val="0"/>
      </w:rPr>
      <w:t xml:space="preserve">- Prof. C.Gravino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Century Gothic" w:cs="Century Gothic" w:eastAsia="Century Gothic" w:hAnsi="Century Gothic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Garamond-regular.ttf"/><Relationship Id="rId6" Type="http://schemas.openxmlformats.org/officeDocument/2006/relationships/font" Target="fonts/Garamond-bold.ttf"/><Relationship Id="rId7" Type="http://schemas.openxmlformats.org/officeDocument/2006/relationships/font" Target="fonts/Garamond-italic.ttf"/><Relationship Id="rId8" Type="http://schemas.openxmlformats.org/officeDocument/2006/relationships/font" Target="fonts/Garamond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