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2925" cy="469905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25" cy="4699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678660</wp:posOffset>
            </wp:positionH>
            <wp:positionV relativeFrom="paragraph">
              <wp:posOffset>114300</wp:posOffset>
            </wp:positionV>
            <wp:extent cx="4762500" cy="455295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5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498.0" w:type="dxa"/>
        <w:jc w:val="left"/>
        <w:tblInd w:w="-100.0" w:type="dxa"/>
        <w:tblLayout w:type="fixed"/>
        <w:tblLook w:val="06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3009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76" w:lineRule="auto"/>
              <w:jc w:val="right"/>
              <w:rPr>
                <w:rFonts w:ascii="Century Gothic" w:cs="Century Gothic" w:eastAsia="Century Gothic" w:hAnsi="Century Gothic"/>
                <w:color w:val="24262b"/>
                <w:sz w:val="96"/>
                <w:szCs w:val="9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96"/>
                <w:szCs w:val="96"/>
                <w:rtl w:val="0"/>
              </w:rPr>
              <w:t xml:space="preserve">Test Summary Report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jc w:val="right"/>
              <w:rPr>
                <w:rFonts w:ascii="Century Gothic" w:cs="Century Gothic" w:eastAsia="Century Gothic" w:hAnsi="Century Gothic"/>
                <w:color w:val="24262b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96"/>
                <w:szCs w:val="96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e91e63"/>
                <w:sz w:val="96"/>
                <w:szCs w:val="96"/>
                <w:rtl w:val="0"/>
              </w:rPr>
              <w:t xml:space="preserve">Rojina Review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right"/>
              <w:rPr>
                <w:rFonts w:ascii="Garamond" w:cs="Garamond" w:eastAsia="Garamond" w:hAnsi="Garamond"/>
                <w:color w:val="24262b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270.0" w:type="dxa"/>
              <w:jc w:val="righ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0"/>
              <w:gridCol w:w="6090"/>
              <w:tblGridChange w:id="0">
                <w:tblGrid>
                  <w:gridCol w:w="3180"/>
                  <w:gridCol w:w="60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  <w:rtl w:val="0"/>
                    </w:rPr>
                    <w:t xml:space="preserve">Riferimento</w:t>
                  </w:r>
                </w:p>
              </w:tc>
              <w:tc>
                <w:tcPr>
                  <w:tcBorders>
                    <w:top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  <w:rtl w:val="0"/>
                    </w:rPr>
                    <w:t xml:space="preserve">Versione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  <w:rtl w:val="0"/>
                    </w:rPr>
                    <w:t xml:space="preserve">2.0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  <w:rtl w:val="0"/>
                    </w:rPr>
                    <w:t xml:space="preserve">Data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  <w:rtl w:val="0"/>
                    </w:rPr>
                    <w:t xml:space="preserve">18/01/2023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  <w:rtl w:val="0"/>
                    </w:rPr>
                    <w:t xml:space="preserve">Destinatario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  <w:rtl w:val="0"/>
                    </w:rPr>
                    <w:t xml:space="preserve">Carmine Gravino, Francesco Casillo (tutor)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  <w:rtl w:val="0"/>
                    </w:rPr>
                    <w:t xml:space="preserve">Presentato da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tabs>
                      <w:tab w:val="left" w:leader="none" w:pos="1910"/>
                    </w:tabs>
                    <w:spacing w:after="160" w:line="259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24262b"/>
                      <w:rtl w:val="0"/>
                    </w:rPr>
                    <w:t xml:space="preserve">Carmine Iemmino (0512109893), Andrea Vitolo (0512109776), Carmine Pio Nardo (0512110148)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  <w:rtl w:val="0"/>
                    </w:rPr>
                    <w:t xml:space="preserve">Approvato da</w:t>
                  </w:r>
                </w:p>
              </w:tc>
              <w:tc>
                <w:tcPr>
                  <w:tcBorders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rFonts w:ascii="Garamond" w:cs="Garamond" w:eastAsia="Garamond" w:hAnsi="Garamond"/>
                      <w:color w:val="24262b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spacing w:line="276" w:lineRule="auto"/>
              <w:jc w:val="right"/>
              <w:rPr>
                <w:rFonts w:ascii="Garamond" w:cs="Garamond" w:eastAsia="Garamond" w:hAnsi="Garamond"/>
                <w:color w:val="24262b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spacing w:after="240" w:before="240" w:line="276" w:lineRule="auto"/>
        <w:jc w:val="center"/>
        <w:rPr>
          <w:rFonts w:ascii="Century Gothic" w:cs="Century Gothic" w:eastAsia="Century Gothic" w:hAnsi="Century Gothic"/>
          <w:b w:val="1"/>
          <w:color w:val="24262b"/>
          <w:sz w:val="32"/>
          <w:szCs w:val="32"/>
        </w:rPr>
      </w:pPr>
      <w:bookmarkStart w:colFirst="0" w:colLast="0" w:name="_7rt86ohmh4ws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color w:val="24262b"/>
          <w:sz w:val="32"/>
          <w:szCs w:val="32"/>
          <w:rtl w:val="0"/>
        </w:rPr>
        <w:t xml:space="preserve">Team members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  <w:u w:val="single"/>
                <w:rtl w:val="0"/>
              </w:rPr>
              <w:t xml:space="preserve">Nome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  <w:u w:val="single"/>
                <w:rtl w:val="0"/>
              </w:rPr>
              <w:t xml:space="preserve">Ruolo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  <w:u w:val="single"/>
                <w:rtl w:val="0"/>
              </w:rPr>
              <w:t xml:space="preserve">Acronimo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  <w:rtl w:val="0"/>
              </w:rPr>
              <w:t xml:space="preserve">Carmine Iemmino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24262b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4262b"/>
                <w:sz w:val="28"/>
                <w:szCs w:val="28"/>
                <w:rtl w:val="0"/>
              </w:rPr>
              <w:t xml:space="preserve">CI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  <w:rtl w:val="0"/>
              </w:rPr>
              <w:t xml:space="preserve">Andrea Vitolo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24262b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4262b"/>
                <w:sz w:val="28"/>
                <w:szCs w:val="28"/>
                <w:rtl w:val="0"/>
              </w:rPr>
              <w:t xml:space="preserve">AV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  <w:rtl w:val="0"/>
              </w:rPr>
              <w:t xml:space="preserve">Carmine Pio Nardo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8"/>
                <w:szCs w:val="28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24262b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4262b"/>
                <w:sz w:val="28"/>
                <w:szCs w:val="28"/>
                <w:rtl w:val="0"/>
              </w:rPr>
              <w:t xml:space="preserve">CPN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>
          <w:rFonts w:ascii="Century Gothic" w:cs="Century Gothic" w:eastAsia="Century Gothic" w:hAnsi="Century Gothic"/>
          <w:color w:val="24262b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entury Gothic" w:cs="Century Gothic" w:eastAsia="Century Gothic" w:hAnsi="Century Gothic"/>
          <w:color w:val="24262b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240" w:before="240" w:line="276" w:lineRule="auto"/>
        <w:rPr>
          <w:rFonts w:ascii="Century Gothic" w:cs="Century Gothic" w:eastAsia="Century Gothic" w:hAnsi="Century Gothic"/>
          <w:b w:val="1"/>
          <w:color w:val="24262b"/>
          <w:sz w:val="32"/>
          <w:szCs w:val="32"/>
        </w:rPr>
      </w:pPr>
      <w:bookmarkStart w:colFirst="0" w:colLast="0" w:name="_1fkrd6d2oqp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240" w:before="240" w:line="276" w:lineRule="auto"/>
        <w:rPr>
          <w:rFonts w:ascii="Century Gothic" w:cs="Century Gothic" w:eastAsia="Century Gothic" w:hAnsi="Century Gothic"/>
          <w:b w:val="1"/>
          <w:color w:val="24262b"/>
          <w:sz w:val="32"/>
          <w:szCs w:val="32"/>
        </w:rPr>
      </w:pPr>
      <w:bookmarkStart w:colFirst="0" w:colLast="0" w:name="_rxwz7vbvbnj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240" w:before="240" w:line="276" w:lineRule="auto"/>
        <w:jc w:val="center"/>
        <w:rPr>
          <w:rFonts w:ascii="Century Gothic" w:cs="Century Gothic" w:eastAsia="Century Gothic" w:hAnsi="Century Gothic"/>
          <w:b w:val="1"/>
          <w:color w:val="24262b"/>
          <w:sz w:val="32"/>
          <w:szCs w:val="32"/>
        </w:rPr>
      </w:pPr>
      <w:bookmarkStart w:colFirst="0" w:colLast="0" w:name="_wh0xs2a5tvk1" w:id="3"/>
      <w:bookmarkEnd w:id="3"/>
      <w:r w:rsidDel="00000000" w:rsidR="00000000" w:rsidRPr="00000000">
        <w:rPr>
          <w:rFonts w:ascii="Century Gothic" w:cs="Century Gothic" w:eastAsia="Century Gothic" w:hAnsi="Century Gothic"/>
          <w:b w:val="1"/>
          <w:color w:val="24262b"/>
          <w:sz w:val="32"/>
          <w:szCs w:val="32"/>
          <w:rtl w:val="0"/>
        </w:rPr>
        <w:t xml:space="preserve">Revision History</w:t>
      </w:r>
    </w:p>
    <w:tbl>
      <w:tblPr>
        <w:tblStyle w:val="Table4"/>
        <w:tblW w:w="9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1635"/>
        <w:gridCol w:w="3135"/>
        <w:gridCol w:w="2310"/>
        <w:tblGridChange w:id="0">
          <w:tblGrid>
            <w:gridCol w:w="2355"/>
            <w:gridCol w:w="1635"/>
            <w:gridCol w:w="3135"/>
            <w:gridCol w:w="231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Autori</w:t>
            </w:r>
          </w:p>
        </w:tc>
      </w:tr>
      <w:tr>
        <w:trPr>
          <w:cantSplit w:val="0"/>
          <w:trHeight w:val="1475.1928710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18/01/2022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Prima stesura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  <w:rtl w:val="0"/>
              </w:rPr>
              <w:t xml:space="preserve">CI,CPN,AV</w:t>
            </w:r>
          </w:p>
        </w:tc>
      </w:tr>
      <w:tr>
        <w:trPr>
          <w:cantSplit w:val="0"/>
          <w:trHeight w:val="1475.1928710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18/01/2022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4262b"/>
                <w:sz w:val="26"/>
                <w:szCs w:val="26"/>
                <w:rtl w:val="0"/>
              </w:rPr>
              <w:t xml:space="preserve">Revisione Finale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4262b"/>
                <w:sz w:val="26"/>
                <w:szCs w:val="26"/>
                <w:rtl w:val="0"/>
              </w:rPr>
              <w:t xml:space="preserve">CI,CPN,AV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7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Century Gothic" w:cs="Century Gothic" w:eastAsia="Century Gothic" w:hAnsi="Century Gothic"/>
              <w:sz w:val="18"/>
              <w:szCs w:val="1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rt86ohmh4ws"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Team members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18"/>
              <w:szCs w:val="18"/>
              <w:rtl w:val="0"/>
            </w:rPr>
            <w:tab/>
          </w:r>
          <w:r w:rsidDel="00000000" w:rsidR="00000000" w:rsidRPr="00000000">
            <w:fldChar w:fldCharType="begin"/>
            <w:instrText xml:space="preserve"> PAGEREF _7rt86ohmh4ws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18"/>
              <w:szCs w:val="1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Century Gothic" w:cs="Century Gothic" w:eastAsia="Century Gothic" w:hAnsi="Century Gothic"/>
              <w:sz w:val="18"/>
              <w:szCs w:val="18"/>
            </w:rPr>
          </w:pPr>
          <w:hyperlink w:anchor="_wh0xs2a5tvk1"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Revision History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18"/>
              <w:szCs w:val="18"/>
              <w:rtl w:val="0"/>
            </w:rPr>
            <w:tab/>
          </w:r>
          <w:r w:rsidDel="00000000" w:rsidR="00000000" w:rsidRPr="00000000">
            <w:fldChar w:fldCharType="begin"/>
            <w:instrText xml:space="preserve"> PAGEREF _wh0xs2a5tvk1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18"/>
              <w:szCs w:val="1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Century Gothic" w:cs="Century Gothic" w:eastAsia="Century Gothic" w:hAnsi="Century Gothic"/>
              <w:sz w:val="18"/>
              <w:szCs w:val="18"/>
            </w:rPr>
          </w:pPr>
          <w:hyperlink w:anchor="_3xbt09r3iy7"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1. Introduzione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18"/>
              <w:szCs w:val="18"/>
              <w:rtl w:val="0"/>
            </w:rPr>
            <w:tab/>
          </w:r>
          <w:r w:rsidDel="00000000" w:rsidR="00000000" w:rsidRPr="00000000">
            <w:fldChar w:fldCharType="begin"/>
            <w:instrText xml:space="preserve"> PAGEREF _3xbt09r3iy7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18"/>
              <w:szCs w:val="1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Century Gothic" w:cs="Century Gothic" w:eastAsia="Century Gothic" w:hAnsi="Century Gothic"/>
              <w:sz w:val="18"/>
              <w:szCs w:val="18"/>
            </w:rPr>
          </w:pPr>
          <w:hyperlink w:anchor="_4s9c91wvjlxr"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2. Relazione con altri documenti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18"/>
              <w:szCs w:val="18"/>
              <w:rtl w:val="0"/>
            </w:rPr>
            <w:tab/>
          </w:r>
          <w:r w:rsidDel="00000000" w:rsidR="00000000" w:rsidRPr="00000000">
            <w:fldChar w:fldCharType="begin"/>
            <w:instrText xml:space="preserve"> PAGEREF _4s9c91wvjlxr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18"/>
              <w:szCs w:val="1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Century Gothic" w:cs="Century Gothic" w:eastAsia="Century Gothic" w:hAnsi="Century Gothic"/>
              <w:sz w:val="18"/>
              <w:szCs w:val="18"/>
            </w:rPr>
          </w:pPr>
          <w:hyperlink w:anchor="_d9e3nkhm3sv1"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3. Testing unitario e di integrazione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18"/>
              <w:szCs w:val="18"/>
              <w:rtl w:val="0"/>
            </w:rPr>
            <w:tab/>
          </w:r>
          <w:r w:rsidDel="00000000" w:rsidR="00000000" w:rsidRPr="00000000">
            <w:fldChar w:fldCharType="begin"/>
            <w:instrText xml:space="preserve"> PAGEREF _d9e3nkhm3sv1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18"/>
              <w:szCs w:val="1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Century Gothic" w:cs="Century Gothic" w:eastAsia="Century Gothic" w:hAnsi="Century Gothic"/>
              <w:sz w:val="18"/>
              <w:szCs w:val="18"/>
            </w:rPr>
          </w:pPr>
          <w:hyperlink w:anchor="_1o3yxksqd3qu"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4. Testing di sistema</w:t>
            </w:r>
          </w:hyperlink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18"/>
              <w:szCs w:val="18"/>
              <w:rtl w:val="0"/>
            </w:rPr>
            <w:tab/>
          </w:r>
          <w:r w:rsidDel="00000000" w:rsidR="00000000" w:rsidRPr="00000000">
            <w:fldChar w:fldCharType="begin"/>
            <w:instrText xml:space="preserve"> PAGEREF _1o3yxksqd3qu \h </w:instrText>
            <w:fldChar w:fldCharType="separate"/>
          </w: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18"/>
              <w:szCs w:val="1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after="0" w:before="0" w:line="276" w:lineRule="auto"/>
        <w:rPr>
          <w:rFonts w:ascii="Century Gothic" w:cs="Century Gothic" w:eastAsia="Century Gothic" w:hAnsi="Century Gothic"/>
          <w:b w:val="1"/>
          <w:sz w:val="32"/>
          <w:szCs w:val="32"/>
        </w:rPr>
      </w:pPr>
      <w:bookmarkStart w:colFirst="0" w:colLast="0" w:name="_3xbt09r3iy7" w:id="4"/>
      <w:bookmarkEnd w:id="4"/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  <w:rtl w:val="0"/>
        </w:rPr>
        <w:t xml:space="preserve">1. Introduzione</w:t>
      </w:r>
    </w:p>
    <w:p w:rsidR="00000000" w:rsidDel="00000000" w:rsidP="00000000" w:rsidRDefault="00000000" w:rsidRPr="00000000" w14:paraId="00000080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Il sistema intende aggiungere all’ormai già famosa formula di siti per recensioni e notizie una parte di e-commerce al fine di soddisfare il collezionismo dei vari utenti offrendo gadget e abbigliamento a tema videogioco.  Il sistema inoltre permette a diversi utente di interagire tra loro tramite commenti ed esprimere un’opinione ai videogiochi giocati.</w:t>
      </w:r>
    </w:p>
    <w:p w:rsidR="00000000" w:rsidDel="00000000" w:rsidP="00000000" w:rsidRDefault="00000000" w:rsidRPr="00000000" w14:paraId="00000081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Il documento di Test Plan garantisce che ogni aspetto funzioni in modo corretto attraverso la descrizione e l’analisi delle attività di testing.</w:t>
      </w:r>
    </w:p>
    <w:p w:rsidR="00000000" w:rsidDel="00000000" w:rsidP="00000000" w:rsidRDefault="00000000" w:rsidRPr="00000000" w14:paraId="00000082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All’interno del documento sono riportate le strategie di testing adottate, quali funzionalità saranno testate e gli strumenti scelti per la rilevazione degli errori, con lo scopo di presentare al cliente finale una piattaforma priva di malfunzionamenti. </w:t>
      </w:r>
    </w:p>
    <w:p w:rsidR="00000000" w:rsidDel="00000000" w:rsidP="00000000" w:rsidRDefault="00000000" w:rsidRPr="00000000" w14:paraId="00000083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Sono state pianificate attività di testing per le seguenti gestioni: 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Gestione Utente 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Gestione Videogiocatore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Gestione Giornalista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Gestione Manager</w:t>
      </w:r>
    </w:p>
    <w:p w:rsidR="00000000" w:rsidDel="00000000" w:rsidP="00000000" w:rsidRDefault="00000000" w:rsidRPr="00000000" w14:paraId="00000088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after="0" w:before="0" w:line="276" w:lineRule="auto"/>
        <w:rPr>
          <w:rFonts w:ascii="Century Gothic" w:cs="Century Gothic" w:eastAsia="Century Gothic" w:hAnsi="Century Gothic"/>
          <w:sz w:val="26"/>
          <w:szCs w:val="26"/>
        </w:rPr>
      </w:pPr>
      <w:bookmarkStart w:colFirst="0" w:colLast="0" w:name="_4s9c91wvjlxr" w:id="5"/>
      <w:bookmarkEnd w:id="5"/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  <w:rtl w:val="0"/>
        </w:rPr>
        <w:t xml:space="preserve">2. Relazione con altri documenti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Di seguito vengono elencate le relazioni tra il presente documento e gli altri documenti di testing. </w:t>
      </w:r>
    </w:p>
    <w:p w:rsidR="00000000" w:rsidDel="00000000" w:rsidP="00000000" w:rsidRDefault="00000000" w:rsidRPr="00000000" w14:paraId="00000090">
      <w:pPr>
        <w:spacing w:after="240" w:before="240" w:line="276" w:lineRule="auto"/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Relazione con il Test Plan</w:t>
      </w:r>
    </w:p>
    <w:p w:rsidR="00000000" w:rsidDel="00000000" w:rsidP="00000000" w:rsidRDefault="00000000" w:rsidRPr="00000000" w14:paraId="00000091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 Il Test Summary Report fa riferimento alle attività di testing specificate nel Test Plan. </w:t>
      </w:r>
    </w:p>
    <w:p w:rsidR="00000000" w:rsidDel="00000000" w:rsidP="00000000" w:rsidRDefault="00000000" w:rsidRPr="00000000" w14:paraId="00000092">
      <w:pPr>
        <w:spacing w:after="240" w:before="240" w:line="276" w:lineRule="auto"/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Relazione con il Test Case Specification </w:t>
      </w:r>
    </w:p>
    <w:p w:rsidR="00000000" w:rsidDel="00000000" w:rsidP="00000000" w:rsidRDefault="00000000" w:rsidRPr="00000000" w14:paraId="00000093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Il Test Summary Report contiene il sunto dell’esecuzione dei test di sistema specificati nel Test Case Specification.</w:t>
      </w:r>
    </w:p>
    <w:p w:rsidR="00000000" w:rsidDel="00000000" w:rsidP="00000000" w:rsidRDefault="00000000" w:rsidRPr="00000000" w14:paraId="00000094">
      <w:pPr>
        <w:spacing w:after="240" w:before="240" w:line="276" w:lineRule="auto"/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Relazione con il Test Incident Report </w:t>
      </w:r>
    </w:p>
    <w:p w:rsidR="00000000" w:rsidDel="00000000" w:rsidP="00000000" w:rsidRDefault="00000000" w:rsidRPr="00000000" w14:paraId="00000095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Il Test Summary Report contiene il sunto dei risultati sull’esecuzione specificati nel Test Incident Report.</w:t>
      </w:r>
    </w:p>
    <w:p w:rsidR="00000000" w:rsidDel="00000000" w:rsidP="00000000" w:rsidRDefault="00000000" w:rsidRPr="00000000" w14:paraId="00000096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="276" w:lineRule="auto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after="0" w:before="0" w:line="276" w:lineRule="auto"/>
        <w:rPr>
          <w:rFonts w:ascii="Century Gothic" w:cs="Century Gothic" w:eastAsia="Century Gothic" w:hAnsi="Century Gothic"/>
          <w:b w:val="1"/>
          <w:sz w:val="32"/>
          <w:szCs w:val="32"/>
        </w:rPr>
      </w:pPr>
      <w:bookmarkStart w:colFirst="0" w:colLast="0" w:name="_d9e3nkhm3sv1" w:id="6"/>
      <w:bookmarkEnd w:id="6"/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  <w:rtl w:val="0"/>
        </w:rPr>
        <w:t xml:space="preserve">3. Testing unitario e di integrazione</w:t>
      </w:r>
    </w:p>
    <w:p w:rsidR="00000000" w:rsidDel="00000000" w:rsidP="00000000" w:rsidRDefault="00000000" w:rsidRPr="00000000" w14:paraId="000000A1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Il testing unitario è stato svolto con Mockito e JUnit una volta implementate tutte le componenti necessarie ad i vari testi, in caso una componente non superasse il test il team member che ha individuato la failure ha provveduto a fixare e riprovare il test.</w:t>
      </w:r>
    </w:p>
    <w:p w:rsidR="00000000" w:rsidDel="00000000" w:rsidP="00000000" w:rsidRDefault="00000000" w:rsidRPr="00000000" w14:paraId="000000A2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Per i vari test effettuati fare riferimento al TIR (Test Incident Report). Non è stato possibile effettuare il testing di integrazione a causa della scadenza relativamente vicina.</w:t>
      </w:r>
    </w:p>
    <w:p w:rsidR="00000000" w:rsidDel="00000000" w:rsidP="00000000" w:rsidRDefault="00000000" w:rsidRPr="00000000" w14:paraId="000000A3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spacing w:after="0" w:before="0" w:line="276" w:lineRule="auto"/>
        <w:rPr>
          <w:rFonts w:ascii="Century Gothic" w:cs="Century Gothic" w:eastAsia="Century Gothic" w:hAnsi="Century Gothic"/>
          <w:b w:val="1"/>
          <w:sz w:val="32"/>
          <w:szCs w:val="32"/>
        </w:rPr>
      </w:pPr>
      <w:bookmarkStart w:colFirst="0" w:colLast="0" w:name="_1o3yxksqd3qu" w:id="7"/>
      <w:bookmarkEnd w:id="7"/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  <w:rtl w:val="0"/>
        </w:rPr>
        <w:t xml:space="preserve">4. Testing di sistema</w:t>
      </w:r>
    </w:p>
    <w:p w:rsidR="00000000" w:rsidDel="00000000" w:rsidP="00000000" w:rsidRDefault="00000000" w:rsidRPr="00000000" w14:paraId="000000BA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Per ciò che concerne il test di sistema si sono andate a definire varie test suites tramite il tool Selenium IDE, per Chrome. Nello specifico, si è generata una Test Suite per ogni requisito da testare specificato all’interno del test plan e ogni esecuzione di una test suite ha richiesto il riavvio del sistema, per motivi legati al refresh dello storage. Di seguito vengono riportati i risultati delle esecuzioni dei test. Per motivi di tempistiche si è deciso di consegnare il prodotto con alcuni bugs.</w:t>
      </w:r>
    </w:p>
    <w:p w:rsidR="00000000" w:rsidDel="00000000" w:rsidP="00000000" w:rsidRDefault="00000000" w:rsidRPr="00000000" w14:paraId="000000BB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Riepilogo generale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Esecuzione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#Fallimenti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#Successi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Esecuzione 1 17/01/2023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34</w:t>
            </w:r>
          </w:p>
        </w:tc>
      </w:tr>
      <w:tr>
        <w:trPr>
          <w:cantSplit w:val="0"/>
          <w:trHeight w:val="554.20898437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Esecuzione 2 18/01/2023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38</w:t>
            </w:r>
          </w:p>
        </w:tc>
      </w:tr>
    </w:tbl>
    <w:p w:rsidR="00000000" w:rsidDel="00000000" w:rsidP="00000000" w:rsidRDefault="00000000" w:rsidRPr="00000000" w14:paraId="000000C6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Modifica prodotto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Esecuzione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#Fallimenti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#Successi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Esecuzione 1 17/01/2023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Esecuzione 2 18/01/2023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D1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Inserimento recensione</w:t>
      </w:r>
    </w:p>
    <w:p w:rsidR="00000000" w:rsidDel="00000000" w:rsidP="00000000" w:rsidRDefault="00000000" w:rsidRPr="00000000" w14:paraId="000000D3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Esecuzione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#Fallimenti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#Successi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Esecuzione 1 17/01/2023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Esecuzione 2 18/01/2023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DD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Segnalazione commento</w:t>
      </w:r>
    </w:p>
    <w:p w:rsidR="00000000" w:rsidDel="00000000" w:rsidP="00000000" w:rsidRDefault="00000000" w:rsidRPr="00000000" w14:paraId="000000DF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Esecuzione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#Fallimenti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#Successi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Esecuzione 1 17/01/2023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Esecuzione 2 18/01/2023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E9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Registrazione videogiocatore</w:t>
      </w:r>
    </w:p>
    <w:p w:rsidR="00000000" w:rsidDel="00000000" w:rsidP="00000000" w:rsidRDefault="00000000" w:rsidRPr="00000000" w14:paraId="000000EA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Esecuzione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#Fallimenti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#Successi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Esecuzione 1 17/01/2023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Esecuzione 2 18/01/2023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F4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Inserimento commento</w:t>
      </w:r>
    </w:p>
    <w:p w:rsidR="00000000" w:rsidDel="00000000" w:rsidP="00000000" w:rsidRDefault="00000000" w:rsidRPr="00000000" w14:paraId="000000F6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Esecuzione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#Fallimenti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#Successi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Esecuzione 1 17/01/2023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Esecuzione 2 18/01/2023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0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Inserimento voto</w:t>
      </w:r>
    </w:p>
    <w:p w:rsidR="00000000" w:rsidDel="00000000" w:rsidP="00000000" w:rsidRDefault="00000000" w:rsidRPr="00000000" w14:paraId="00000102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Esecuzione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#Fallimenti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#Successi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Esecuzione 1 17/01/2023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</w:t>
            </w:r>
          </w:p>
        </w:tc>
      </w:tr>
      <w:tr>
        <w:trPr>
          <w:cantSplit w:val="0"/>
          <w:trHeight w:val="509.20898437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Esecuzione 2 18/01/2023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C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Inserimento metodo di pagamento durante ordine</w:t>
      </w:r>
    </w:p>
    <w:p w:rsidR="00000000" w:rsidDel="00000000" w:rsidP="00000000" w:rsidRDefault="00000000" w:rsidRPr="00000000" w14:paraId="0000010E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Esecuzione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#Fallimenti</w:t>
            </w:r>
          </w:p>
        </w:tc>
        <w:tc>
          <w:tcPr>
            <w:shd w:fill="e91e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#Successi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Esecuzione 1 17/01/2023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Esecuzione 2 18/01/2023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righ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18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tabs>
        <w:tab w:val="center" w:leader="none" w:pos="4819"/>
        <w:tab w:val="right" w:leader="none" w:pos="9638"/>
      </w:tabs>
      <w:spacing w:line="240" w:lineRule="auto"/>
      <w:rPr>
        <w:rFonts w:ascii="Century Gothic" w:cs="Century Gothic" w:eastAsia="Century Gothic" w:hAnsi="Century Gothic"/>
        <w:color w:val="1f4e79"/>
        <w:sz w:val="32"/>
        <w:szCs w:val="32"/>
        <w:u w:val="single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TSR Rojina Review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0">
    <w:pPr>
      <w:tabs>
        <w:tab w:val="center" w:leader="none" w:pos="4819"/>
        <w:tab w:val="right" w:leader="none" w:pos="9638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V2.0</w:t>
    </w:r>
  </w:p>
  <w:p w:rsidR="00000000" w:rsidDel="00000000" w:rsidP="00000000" w:rsidRDefault="00000000" w:rsidRPr="00000000" w14:paraId="00000121">
    <w:pPr>
      <w:tabs>
        <w:tab w:val="center" w:leader="none" w:pos="4819"/>
        <w:tab w:val="right" w:leader="none" w:pos="9638"/>
      </w:tabs>
      <w:spacing w:line="240" w:lineRule="auto"/>
      <w:jc w:val="right"/>
      <w:rPr/>
    </w:pPr>
    <w:r w:rsidDel="00000000" w:rsidR="00000000" w:rsidRPr="00000000">
      <w:rPr>
        <w:rFonts w:ascii="Calibri" w:cs="Calibri" w:eastAsia="Calibri" w:hAnsi="Calibri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tabs>
        <w:tab w:val="center" w:leader="none" w:pos="4819"/>
        <w:tab w:val="right" w:leader="none" w:pos="9638"/>
      </w:tabs>
      <w:spacing w:line="240" w:lineRule="auto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-3809</wp:posOffset>
          </wp:positionH>
          <wp:positionV relativeFrom="paragraph">
            <wp:posOffset>0</wp:posOffset>
          </wp:positionV>
          <wp:extent cx="868045" cy="868045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B">
    <w:pPr>
      <w:tabs>
        <w:tab w:val="center" w:leader="none" w:pos="4819"/>
        <w:tab w:val="right" w:leader="none" w:pos="9638"/>
      </w:tabs>
      <w:spacing w:line="240" w:lineRule="auto"/>
      <w:jc w:val="center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C">
    <w:pPr>
      <w:tabs>
        <w:tab w:val="center" w:leader="none" w:pos="4819"/>
        <w:tab w:val="right" w:leader="none" w:pos="9638"/>
      </w:tabs>
      <w:spacing w:line="240" w:lineRule="auto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Triennale in Informatica-Università di Salerno</w:t>
    </w:r>
  </w:p>
  <w:p w:rsidR="00000000" w:rsidDel="00000000" w:rsidP="00000000" w:rsidRDefault="00000000" w:rsidRPr="00000000" w14:paraId="0000011D">
    <w:pPr>
      <w:tabs>
        <w:tab w:val="center" w:leader="none" w:pos="4819"/>
        <w:tab w:val="right" w:leader="none" w:pos="9638"/>
      </w:tabs>
      <w:spacing w:line="240" w:lineRule="auto"/>
      <w:jc w:val="center"/>
      <w:rPr/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Corso di </w:t>
    </w:r>
    <w:r w:rsidDel="00000000" w:rsidR="00000000" w:rsidRPr="00000000">
      <w:rPr>
        <w:rFonts w:ascii="Century Gothic" w:cs="Century Gothic" w:eastAsia="Century Gothic" w:hAnsi="Century Gothic"/>
        <w:i w:val="1"/>
        <w:sz w:val="24"/>
        <w:szCs w:val="24"/>
        <w:rtl w:val="0"/>
      </w:rPr>
      <w:t xml:space="preserve">Ingegneria del Software</w:t>
    </w: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- Prof. C.Gravino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