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b/>
          <w:bCs/>
          <w:color w:val="1F4E5F"/>
          <w:sz w:val="56"/>
          <w:szCs w:val="56"/>
        </w:rPr>
        <w:t xml:space="preserve">SOMETHING</w:t>
      </w:r>
    </w:p>
    <w:p>
      <w:pPr>
        <w:spacing w:after="60"/>
      </w:pPr>
      <w:r>
        <w:rPr>
          <w:color w:val="595959"/>
          <w:sz w:val="28"/>
          <w:szCs w:val="28"/>
        </w:rPr>
        <w:t xml:space="preserve">Business Model</w:t>
      </w:r>
    </w:p>
    <w:p>
      <w:pPr>
        <w:spacing w:after="300"/>
      </w:pPr>
      <w:r>
        <w:rPr>
          <w:i/>
          <w:iCs/>
          <w:color w:val="595959"/>
          <w:sz w:val="21"/>
          <w:szCs w:val="21"/>
        </w:rPr>
        <w:t xml:space="preserve">Doc 4 — How Something makes money, from whom, why they pay, and what it looks like at scale.</w:t>
      </w:r>
    </w:p>
    <w:p>
      <w:pPr>
        <w:pStyle w:val="Heading1"/>
        <w:spacing w:after="170" w:before="340"/>
      </w:pPr>
      <w:r>
        <w:t xml:space="preserve">What We Actually Sell</w:t>
      </w:r>
    </w:p>
    <w:p>
      <w:pPr>
        <w:spacing w:after="130" w:before="0"/>
      </w:pPr>
      <w:r>
        <w:rPr>
          <w:color w:val="1A1A1A"/>
          <w:sz w:val="21"/>
          <w:szCs w:val="21"/>
        </w:rPr>
        <w:t xml:space="preserve">The AI is not the product. Claude exists. ChatGPT exists. Nobody in 2026 pays for AI features they can get elsewhere for free.</w:t>
      </w:r>
    </w:p>
    <w:p>
      <w:pPr>
        <w:spacing w:after="130" w:before="0"/>
      </w:pPr>
      <w:r>
        <w:rPr>
          <w:color w:val="1A1A1A"/>
          <w:sz w:val="21"/>
          <w:szCs w:val="21"/>
        </w:rPr>
        <w:t xml:space="preserve">What Something has that no AI tool can replicate is a network — a verified founder pool, a verified investor pool, and live crowd signal on real problems. The business model is built entirely on who needs access to those three things and what they will pay to get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What Something has</w:t>
            </w:r>
          </w:p>
        </w:tc>
        <w:tc>
          <w:tcPr>
            <w:tcW w:type="dxa" w:w="348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Why it has monetary value</w:t>
            </w:r>
          </w:p>
        </w:tc>
        <w:tc>
          <w:tcPr>
            <w:tcW w:type="dxa" w:w="368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Who cannot get this elsewhere</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A verified founder pool</w:t>
            </w:r>
          </w:p>
        </w:tc>
        <w:tc>
          <w:tcPr>
            <w:tcW w:type="dxa" w:w="34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Every founder in this pool has passed adversarial AI review and submitted real proof of work. Not a self-reported profile — a vetted builder with receipts.</w:t>
            </w:r>
          </w:p>
        </w:tc>
        <w:tc>
          <w:tcPr>
            <w:tcW w:type="dxa" w:w="36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VCs who want pre-filtered deal flow. Accelerators who want better applicants. Companies who want to hire people who have actually built something.</w:t>
            </w:r>
          </w:p>
        </w:tc>
      </w:tr>
      <w:tr>
        <w:tc>
          <w:tcPr>
            <w:tcW w:type="dxa" w:w="22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 verified investor pool</w:t>
            </w:r>
          </w:p>
        </w:tc>
        <w:tc>
          <w:tcPr>
            <w:tcW w:type="dxa" w:w="34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Active deployers with tracked investment history — sector, stage, check size. Not a static directory. Behavioral data from real platform activity.</w:t>
            </w:r>
          </w:p>
        </w:tc>
        <w:tc>
          <w:tcPr>
            <w:tcW w:type="dxa" w:w="36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Founders who cannot get warm introductions. Scouts building deal flow. Founders who need to know which 3–5 investors to approach, not which 500 exist.</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Crowd signal on real problems</w:t>
            </w:r>
          </w:p>
        </w:tc>
        <w:tc>
          <w:tcPr>
            <w:tcW w:type="dxa" w:w="34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Thousands of people upvoting real-world problems — not a survey, not a focus group. Live, unfiltered, from people actively trying to solve things.</w:t>
            </w:r>
          </w:p>
        </w:tc>
        <w:tc>
          <w:tcPr>
            <w:tcW w:type="dxa" w:w="36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Companies that need market validation before committing engineering resources. Product managers who want to know if a problem is real before they build.</w:t>
            </w:r>
          </w:p>
        </w:tc>
      </w:tr>
    </w:tbl>
    <w:p>
      <w:pPr>
        <w:spacing w:after="200"/>
      </w:pPr>
      <w:r>
        <w:t xml:space="preserve"/>
      </w:r>
    </w:p>
    <w:p>
      <w:pPr>
        <w:pStyle w:val="Heading1"/>
        <w:spacing w:after="170" w:before="340"/>
      </w:pPr>
      <w:r>
        <w:t xml:space="preserve">Free → Cheap → Real Income</w:t>
      </w:r>
    </w:p>
    <w:p>
      <w:pPr>
        <w:spacing w:after="120" w:before="0"/>
      </w:pPr>
      <w:r>
        <w:rPr>
          <w:color w:val="1A1A1A"/>
          <w:sz w:val="21"/>
          <w:szCs w:val="21"/>
        </w:rPr>
        <w:t xml:space="preserve">Every marketplace that scaled went through this sequence. You cannot charge a two-sided market before both sides have a reason to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0"/>
        <w:gridCol w:w="2920"/>
        <w:gridCol w:w="280"/>
        <w:gridCol w:w="3000"/>
      </w:tblGrid>
      <w:tr>
        <w:tc>
          <w:tcPr>
            <w:tcW w:type="dxa" w:w="2880"/>
            <w:tcBorders>
              <w:top w:val="none" w:color="FFFFFF" w:sz="0"/>
              <w:left w:val="none" w:color="FFFFFF" w:sz="0"/>
              <w:bottom w:val="none" w:color="FFFFFF" w:sz="0"/>
              <w:right w:val="none" w:color="FFFFFF" w:sz="0"/>
            </w:tcBorders>
            <w:shd w:fill="1F4E5F" w:val="clear"/>
            <w:tcMar>
              <w:top w:type="dxa" w:w="160"/>
              <w:left w:type="dxa" w:w="180"/>
              <w:bottom w:type="dxa" w:w="160"/>
              <w:right w:type="dxa" w:w="180"/>
            </w:tcMar>
            <w:vAlign w:val="top"/>
          </w:tcPr>
          <w:p>
            <w:pPr>
              <w:spacing w:after="40"/>
            </w:pPr>
            <w:r>
              <w:rPr>
                <w:b/>
                <w:bCs/>
                <w:color w:val="FFFFFF"/>
                <w:sz w:val="26"/>
                <w:szCs w:val="26"/>
              </w:rPr>
              <w:t xml:space="preserve">FREE</w:t>
            </w:r>
          </w:p>
          <w:p>
            <w:pPr>
              <w:spacing w:after="80"/>
            </w:pPr>
            <w:r>
              <w:rPr>
                <w:i/>
                <w:iCs/>
                <w:color w:val="CCDDDD"/>
                <w:sz w:val="17"/>
                <w:szCs w:val="17"/>
              </w:rPr>
              <w:t xml:space="preserve">Months 0 – 6
Pre-revenue</w:t>
            </w:r>
          </w:p>
          <w:p>
            <w:pPr>
              <w:spacing w:after="0"/>
            </w:pPr>
            <w:r>
              <w:rPr>
                <w:color w:val="DDDDDD"/>
                <w:sz w:val="17"/>
                <w:szCs w:val="17"/>
              </w:rPr>
              <w:t xml:space="preserve">Build both sides of the network before charging either. A two-sided market with no one on either side is worth nothing. Marketplace cold start — standard, not weakness.</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595959"/>
                <w:sz w:val="32"/>
                <w:szCs w:val="32"/>
              </w:rPr>
              <w:t xml:space="preserve">→</w:t>
            </w:r>
          </w:p>
        </w:tc>
        <w:tc>
          <w:tcPr>
            <w:tcW w:type="dxa" w:w="2920"/>
            <w:tcBorders>
              <w:top w:val="none" w:color="FFFFFF" w:sz="0"/>
              <w:left w:val="none" w:color="FFFFFF" w:sz="0"/>
              <w:bottom w:val="none" w:color="FFFFFF" w:sz="0"/>
              <w:right w:val="none" w:color="FFFFFF" w:sz="0"/>
            </w:tcBorders>
            <w:shd w:fill="2E7D9B" w:val="clear"/>
            <w:tcMar>
              <w:top w:type="dxa" w:w="160"/>
              <w:left w:type="dxa" w:w="180"/>
              <w:bottom w:type="dxa" w:w="160"/>
              <w:right w:type="dxa" w:w="180"/>
            </w:tcMar>
            <w:vAlign w:val="top"/>
          </w:tcPr>
          <w:p>
            <w:pPr>
              <w:spacing w:after="40"/>
            </w:pPr>
            <w:r>
              <w:rPr>
                <w:b/>
                <w:bCs/>
                <w:color w:val="FFFFFF"/>
                <w:sz w:val="26"/>
                <w:szCs w:val="26"/>
              </w:rPr>
              <w:t xml:space="preserve">CHEAP</w:t>
            </w:r>
          </w:p>
          <w:p>
            <w:pPr>
              <w:spacing w:after="80"/>
            </w:pPr>
            <w:r>
              <w:rPr>
                <w:i/>
                <w:iCs/>
                <w:color w:val="CCDDDD"/>
                <w:sz w:val="17"/>
                <w:szCs w:val="17"/>
              </w:rPr>
              <w:t xml:space="preserve">Months 6 – 12
Early monetization</w:t>
            </w:r>
          </w:p>
          <w:p>
            <w:pPr>
              <w:spacing w:after="0"/>
            </w:pPr>
            <w:r>
              <w:rPr>
                <w:color w:val="DDDDDD"/>
                <w:sz w:val="17"/>
                <w:szCs w:val="17"/>
              </w:rPr>
              <w:t xml:space="preserve">Prove willingness to pay. Investor subscription goes live. Refine tiers switch on. First community funding take rate collected. Revenue is small — proof of concept is not.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595959"/>
                <w:sz w:val="32"/>
                <w:szCs w:val="32"/>
              </w:rPr>
              <w:t xml:space="preserve">→</w:t>
            </w:r>
          </w:p>
        </w:tc>
        <w:tc>
          <w:tcPr>
            <w:tcW w:type="dxa" w:w="3000"/>
            <w:tcBorders>
              <w:top w:val="none" w:color="FFFFFF" w:sz="0"/>
              <w:left w:val="none" w:color="FFFFFF" w:sz="0"/>
              <w:bottom w:val="none" w:color="FFFFFF" w:sz="0"/>
              <w:right w:val="none" w:color="FFFFFF" w:sz="0"/>
            </w:tcBorders>
            <w:shd w:fill="1A5C4E" w:val="clear"/>
            <w:tcMar>
              <w:top w:type="dxa" w:w="160"/>
              <w:left w:type="dxa" w:w="180"/>
              <w:bottom w:type="dxa" w:w="160"/>
              <w:right w:type="dxa" w:w="180"/>
            </w:tcMar>
            <w:vAlign w:val="top"/>
          </w:tcPr>
          <w:p>
            <w:pPr>
              <w:spacing w:after="40"/>
            </w:pPr>
            <w:r>
              <w:rPr>
                <w:b/>
                <w:bCs/>
                <w:color w:val="FFFFFF"/>
                <w:sz w:val="26"/>
                <w:szCs w:val="26"/>
              </w:rPr>
              <w:t xml:space="preserve">REAL INCOME</w:t>
            </w:r>
          </w:p>
          <w:p>
            <w:pPr>
              <w:spacing w:after="80"/>
            </w:pPr>
            <w:r>
              <w:rPr>
                <w:i/>
                <w:iCs/>
                <w:color w:val="CCDDDD"/>
                <w:sz w:val="17"/>
                <w:szCs w:val="17"/>
              </w:rPr>
              <w:t xml:space="preserve">Year 1 – 3
ARR growth</w:t>
            </w:r>
          </w:p>
          <w:p>
            <w:pPr>
              <w:spacing w:after="0"/>
            </w:pPr>
            <w:r>
              <w:rPr>
                <w:color w:val="DDDDDD"/>
                <w:sz w:val="17"/>
                <w:szCs w:val="17"/>
              </w:rPr>
              <w:t xml:space="preserve">Corporate validation sprints. VC scout retainers. Talent placement. Equity portfolio compounding. The network is big enough that access to it has a market rate.</w:t>
            </w:r>
          </w:p>
        </w:tc>
      </w:tr>
    </w:tbl>
    <w:p>
      <w:pPr>
        <w:spacing w:after="200"/>
      </w:pPr>
      <w:r>
        <w:t xml:space="preserve"/>
      </w:r>
    </w:p>
    <w:p>
      <w:pPr>
        <w:pStyle w:val="Heading1"/>
        <w:spacing w:after="170" w:before="340"/>
      </w:pPr>
      <w:r>
        <w:t xml:space="preserve">Revenue Streams — Organized by When Money Flows</w:t>
      </w:r>
    </w:p>
    <w:p>
      <w:pPr>
        <w:spacing w:after="120" w:before="0"/>
      </w:pPr>
      <w:r>
        <w:rPr>
          <w:i/>
          <w:iCs/>
          <w:color w:val="595959"/>
          <w:sz w:val="21"/>
          <w:szCs w:val="21"/>
        </w:rPr>
        <w:t xml:space="preserve">Organized by timing, not by size. The at-validation streams activate earliest. The at-funding streams are the most structurally interesting. The after-funding streams are the ones nobody else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160"/>
        <w:gridCol w:w="2600"/>
      </w:tblGrid>
      <w:tr>
        <w:tc>
          <w:tcPr>
            <w:tcW w:type="dxa" w:w="20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When money flows</w:t>
            </w:r>
          </w:p>
        </w:tc>
        <w:tc>
          <w:tcPr>
            <w:tcW w:type="dxa" w:w="26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Stream</w:t>
            </w:r>
          </w:p>
        </w:tc>
        <w:tc>
          <w:tcPr>
            <w:tcW w:type="dxa" w:w="216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Who pays</w:t>
            </w:r>
          </w:p>
        </w:tc>
        <w:tc>
          <w:tcPr>
            <w:tcW w:type="dxa" w:w="26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Rough pricing</w:t>
            </w:r>
          </w:p>
        </w:tc>
      </w:tr>
      <w:tr>
        <w:tc>
          <w:tcPr>
            <w:tcW w:type="dxa" w:w="2000"/>
            <w:tcBorders>
              <w:top w:val="single" w:color="CCCCCC" w:sz="1"/>
              <w:left w:val="single" w:color="CCCCCC" w:sz="1"/>
              <w:bottom w:val="single" w:color="CCCCCC" w:sz="1"/>
              <w:right w:val="single" w:color="CCCCCC" w:sz="1"/>
            </w:tcBorders>
            <w:shd w:fill="2E7D9B" w:val="clear"/>
            <w:tcMar>
              <w:top w:type="dxa" w:w="110"/>
              <w:left w:type="dxa" w:w="140"/>
              <w:bottom w:type="dxa" w:w="110"/>
              <w:right w:type="dxa" w:w="140"/>
            </w:tcMar>
            <w:vAlign w:val="center"/>
          </w:tcPr>
          <w:p>
            <w:r>
              <w:rPr>
                <w:b w:val="false"/>
                <w:bCs w:val="false"/>
                <w:color w:val="FFFFFF"/>
                <w:sz w:val="18"/>
                <w:szCs w:val="18"/>
              </w:rPr>
              <w:t xml:space="preserve">AT VALIDATION</w:t>
            </w:r>
          </w:p>
        </w:tc>
        <w:tc>
          <w:tcPr>
            <w:tcW w:type="dxa" w:w="2600"/>
            <w:tcBorders>
              <w:top w:val="single" w:color="CCCCCC" w:sz="1"/>
              <w:left w:val="single" w:color="CCCCCC" w:sz="1"/>
              <w:bottom w:val="single" w:color="CCCCCC" w:sz="1"/>
              <w:right w:val="single" w:color="CCCCCC" w:sz="1"/>
            </w:tcBorders>
            <w:shd w:fill="2E7D9B" w:val="clear"/>
            <w:tcMar>
              <w:top w:type="dxa" w:w="110"/>
              <w:left w:type="dxa" w:w="140"/>
              <w:bottom w:type="dxa" w:w="110"/>
              <w:right w:type="dxa" w:w="140"/>
            </w:tcMar>
            <w:vAlign w:val="center"/>
          </w:tcPr>
          <w:p>
            <w:r>
              <w:rPr>
                <w:b w:val="false"/>
                <w:bCs w:val="false"/>
                <w:color w:val="FFFFFF"/>
                <w:sz w:val="18"/>
                <w:szCs w:val="18"/>
              </w:rPr>
              <w:t xml:space="preserve">Corporate problem validation sprint</w:t>
            </w:r>
          </w:p>
        </w:tc>
        <w:tc>
          <w:tcPr>
            <w:tcW w:type="dxa" w:w="2160"/>
            <w:tcBorders>
              <w:top w:val="single" w:color="CCCCCC" w:sz="1"/>
              <w:left w:val="single" w:color="CCCCCC" w:sz="1"/>
              <w:bottom w:val="single" w:color="CCCCCC" w:sz="1"/>
              <w:right w:val="single" w:color="CCCCCC" w:sz="1"/>
            </w:tcBorders>
            <w:shd w:fill="2E7D9B" w:val="clear"/>
            <w:tcMar>
              <w:top w:type="dxa" w:w="110"/>
              <w:left w:type="dxa" w:w="140"/>
              <w:bottom w:type="dxa" w:w="110"/>
              <w:right w:type="dxa" w:w="140"/>
            </w:tcMar>
            <w:vAlign w:val="center"/>
          </w:tcPr>
          <w:p>
            <w:r>
              <w:rPr>
                <w:b w:val="false"/>
                <w:bCs w:val="false"/>
                <w:color w:val="FFFFFF"/>
                <w:sz w:val="18"/>
                <w:szCs w:val="18"/>
              </w:rPr>
              <w:t xml:space="preserve">Companies (product teams, corporate VCs)</w:t>
            </w:r>
          </w:p>
        </w:tc>
        <w:tc>
          <w:tcPr>
            <w:tcW w:type="dxa" w:w="2600"/>
            <w:tcBorders>
              <w:top w:val="single" w:color="CCCCCC" w:sz="1"/>
              <w:left w:val="single" w:color="CCCCCC" w:sz="1"/>
              <w:bottom w:val="single" w:color="CCCCCC" w:sz="1"/>
              <w:right w:val="single" w:color="CCCCCC" w:sz="1"/>
            </w:tcBorders>
            <w:shd w:fill="2E7D9B" w:val="clear"/>
            <w:tcMar>
              <w:top w:type="dxa" w:w="110"/>
              <w:left w:type="dxa" w:w="140"/>
              <w:bottom w:type="dxa" w:w="110"/>
              <w:right w:type="dxa" w:w="140"/>
            </w:tcMar>
            <w:vAlign w:val="center"/>
          </w:tcPr>
          <w:p>
            <w:r>
              <w:rPr>
                <w:b w:val="false"/>
                <w:bCs w:val="false"/>
                <w:color w:val="FFFFFF"/>
                <w:sz w:val="18"/>
                <w:szCs w:val="18"/>
              </w:rPr>
              <w:t xml:space="preserve">₹3L – ₹5L per sprint</w:t>
            </w:r>
          </w:p>
        </w:tc>
      </w:tr>
      <w:tr>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Accelerator cohort access — early look at verified deal flow before public</w:t>
            </w:r>
          </w:p>
        </w:tc>
        <w:tc>
          <w:tcPr>
            <w:tcW w:type="dxa" w:w="216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Accelerators, incubators</w:t>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₹1L – ₹2L/month retainer</w:t>
            </w:r>
          </w:p>
        </w:tc>
      </w:tr>
      <w:tr>
        <w:tc>
          <w:tcPr>
            <w:tcW w:type="dxa" w:w="2000"/>
            <w:tcBorders>
              <w:top w:val="single" w:color="CCCCCC" w:sz="1"/>
              <w:left w:val="single" w:color="CCCCCC" w:sz="1"/>
              <w:bottom w:val="single" w:color="CCCCCC" w:sz="1"/>
              <w:right w:val="single" w:color="CCCCCC" w:sz="1"/>
            </w:tcBorders>
            <w:shd w:fill="1A5C4E" w:val="clear"/>
            <w:tcMar>
              <w:top w:type="dxa" w:w="110"/>
              <w:left w:type="dxa" w:w="140"/>
              <w:bottom w:type="dxa" w:w="110"/>
              <w:right w:type="dxa" w:w="140"/>
            </w:tcMar>
            <w:vAlign w:val="center"/>
          </w:tcPr>
          <w:p>
            <w:r>
              <w:rPr>
                <w:b w:val="false"/>
                <w:bCs w:val="false"/>
                <w:color w:val="FFFFFF"/>
                <w:sz w:val="18"/>
                <w:szCs w:val="18"/>
              </w:rPr>
              <w:t xml:space="preserve">AT FUNDING</w:t>
            </w:r>
          </w:p>
        </w:tc>
        <w:tc>
          <w:tcPr>
            <w:tcW w:type="dxa" w:w="2600"/>
            <w:tcBorders>
              <w:top w:val="single" w:color="CCCCCC" w:sz="1"/>
              <w:left w:val="single" w:color="CCCCCC" w:sz="1"/>
              <w:bottom w:val="single" w:color="CCCCCC" w:sz="1"/>
              <w:right w:val="single" w:color="CCCCCC" w:sz="1"/>
            </w:tcBorders>
            <w:shd w:fill="1A5C4E" w:val="clear"/>
            <w:tcMar>
              <w:top w:type="dxa" w:w="110"/>
              <w:left w:type="dxa" w:w="140"/>
              <w:bottom w:type="dxa" w:w="110"/>
              <w:right w:type="dxa" w:w="140"/>
            </w:tcMar>
            <w:vAlign w:val="center"/>
          </w:tcPr>
          <w:p>
            <w:r>
              <w:rPr>
                <w:b w:val="false"/>
                <w:bCs w:val="false"/>
                <w:color w:val="FFFFFF"/>
                <w:sz w:val="18"/>
                <w:szCs w:val="18"/>
              </w:rPr>
              <w:t xml:space="preserve">1% equity on forwarded pitch (agreement-backed)</w:t>
            </w:r>
          </w:p>
        </w:tc>
        <w:tc>
          <w:tcPr>
            <w:tcW w:type="dxa" w:w="2160"/>
            <w:tcBorders>
              <w:top w:val="single" w:color="CCCCCC" w:sz="1"/>
              <w:left w:val="single" w:color="CCCCCC" w:sz="1"/>
              <w:bottom w:val="single" w:color="CCCCCC" w:sz="1"/>
              <w:right w:val="single" w:color="CCCCCC" w:sz="1"/>
            </w:tcBorders>
            <w:shd w:fill="1A5C4E" w:val="clear"/>
            <w:tcMar>
              <w:top w:type="dxa" w:w="110"/>
              <w:left w:type="dxa" w:w="140"/>
              <w:bottom w:type="dxa" w:w="110"/>
              <w:right w:type="dxa" w:w="140"/>
            </w:tcMar>
            <w:vAlign w:val="center"/>
          </w:tcPr>
          <w:p>
            <w:r>
              <w:rPr>
                <w:b w:val="false"/>
                <w:bCs w:val="false"/>
                <w:color w:val="FFFFFF"/>
                <w:sz w:val="18"/>
                <w:szCs w:val="18"/>
              </w:rPr>
              <w:t xml:space="preserve">Founder (equity, not cash)</w:t>
            </w:r>
          </w:p>
        </w:tc>
        <w:tc>
          <w:tcPr>
            <w:tcW w:type="dxa" w:w="2600"/>
            <w:tcBorders>
              <w:top w:val="single" w:color="CCCCCC" w:sz="1"/>
              <w:left w:val="single" w:color="CCCCCC" w:sz="1"/>
              <w:bottom w:val="single" w:color="CCCCCC" w:sz="1"/>
              <w:right w:val="single" w:color="CCCCCC" w:sz="1"/>
            </w:tcBorders>
            <w:shd w:fill="1A5C4E" w:val="clear"/>
            <w:tcMar>
              <w:top w:type="dxa" w:w="110"/>
              <w:left w:type="dxa" w:w="140"/>
              <w:bottom w:type="dxa" w:w="110"/>
              <w:right w:type="dxa" w:w="140"/>
            </w:tcMar>
            <w:vAlign w:val="center"/>
          </w:tcPr>
          <w:p>
            <w:r>
              <w:rPr>
                <w:b w:val="false"/>
                <w:bCs w:val="false"/>
                <w:color w:val="FFFFFF"/>
                <w:sz w:val="18"/>
                <w:szCs w:val="18"/>
              </w:rPr>
              <w:t xml:space="preserve">1% of company on funded deal</w:t>
            </w:r>
          </w:p>
        </w:tc>
      </w:tr>
      <w:tr>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5% take rate on community funding (success only)</w:t>
            </w:r>
          </w:p>
        </w:tc>
        <w:tc>
          <w:tcPr>
            <w:tcW w:type="dxa" w:w="216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Successfully funded founders</w:t>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5% of GMV raised</w:t>
            </w:r>
          </w:p>
        </w:tc>
      </w:tr>
      <w:tr>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VC scout fee — thesis-matched early deal flow before public feed</w:t>
            </w:r>
          </w:p>
        </w:tc>
        <w:tc>
          <w:tcPr>
            <w:tcW w:type="dxa" w:w="216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VC funds</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₹50K – ₹1.5L/month retainer + success fee</w:t>
            </w:r>
          </w:p>
        </w:tc>
      </w:tr>
      <w:tr>
        <w:tc>
          <w:tcPr>
            <w:tcW w:type="dxa" w:w="20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val="false"/>
                <w:bCs w:val="false"/>
                <w:color w:val="FFFFFF"/>
                <w:sz w:val="18"/>
                <w:szCs w:val="18"/>
              </w:rPr>
              <w:t xml:space="preserve">AFTER FUNDING</w:t>
            </w:r>
          </w:p>
        </w:tc>
        <w:tc>
          <w:tcPr>
            <w:tcW w:type="dxa" w:w="26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val="false"/>
                <w:bCs w:val="false"/>
                <w:color w:val="FFFFFF"/>
                <w:sz w:val="18"/>
                <w:szCs w:val="18"/>
              </w:rPr>
              <w:t xml:space="preserve">Verified talent placement — founders who didn't raise</w:t>
            </w:r>
          </w:p>
        </w:tc>
        <w:tc>
          <w:tcPr>
            <w:tcW w:type="dxa" w:w="216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val="false"/>
                <w:bCs w:val="false"/>
                <w:color w:val="FFFFFF"/>
                <w:sz w:val="18"/>
                <w:szCs w:val="18"/>
              </w:rPr>
              <w:t xml:space="preserve">Companies hiring technical builders</w:t>
            </w:r>
          </w:p>
        </w:tc>
        <w:tc>
          <w:tcPr>
            <w:tcW w:type="dxa" w:w="26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val="false"/>
                <w:bCs w:val="false"/>
                <w:color w:val="FFFFFF"/>
                <w:sz w:val="18"/>
                <w:szCs w:val="18"/>
              </w:rPr>
              <w:t xml:space="preserve">₹1L – ₹3L per placement</w:t>
            </w:r>
          </w:p>
        </w:tc>
      </w:tr>
      <w:tr>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Equity portfolio compounding (L2 stakes)</w:t>
            </w:r>
          </w:p>
        </w:tc>
        <w:tc>
          <w:tcPr>
            <w:tcW w:type="dxa" w:w="216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N/A — accrues silently</w:t>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1% equity per forwarded + funded deal</w:t>
            </w:r>
          </w:p>
        </w:tc>
      </w:tr>
      <w:tr>
        <w:tc>
          <w:tcPr>
            <w:tcW w:type="dxa" w:w="2000"/>
            <w:tcBorders>
              <w:top w:val="single" w:color="CCCCCC" w:sz="1"/>
              <w:left w:val="single" w:color="CCCCCC" w:sz="1"/>
              <w:bottom w:val="single" w:color="CCCCCC" w:sz="1"/>
              <w:right w:val="single" w:color="CCCCCC" w:sz="1"/>
            </w:tcBorders>
            <w:shd w:fill="2A4A5A" w:val="clear"/>
            <w:tcMar>
              <w:top w:type="dxa" w:w="110"/>
              <w:left w:type="dxa" w:w="140"/>
              <w:bottom w:type="dxa" w:w="110"/>
              <w:right w:type="dxa" w:w="140"/>
            </w:tcMar>
            <w:vAlign w:val="center"/>
          </w:tcPr>
          <w:p>
            <w:r>
              <w:rPr>
                <w:b w:val="false"/>
                <w:bCs w:val="false"/>
                <w:color w:val="FFFFFF"/>
                <w:sz w:val="18"/>
                <w:szCs w:val="18"/>
              </w:rPr>
              <w:t xml:space="preserve">RECURRING</w:t>
            </w:r>
          </w:p>
        </w:tc>
        <w:tc>
          <w:tcPr>
            <w:tcW w:type="dxa" w:w="2600"/>
            <w:tcBorders>
              <w:top w:val="single" w:color="CCCCCC" w:sz="1"/>
              <w:left w:val="single" w:color="CCCCCC" w:sz="1"/>
              <w:bottom w:val="single" w:color="CCCCCC" w:sz="1"/>
              <w:right w:val="single" w:color="CCCCCC" w:sz="1"/>
            </w:tcBorders>
            <w:shd w:fill="2A4A5A" w:val="clear"/>
            <w:tcMar>
              <w:top w:type="dxa" w:w="110"/>
              <w:left w:type="dxa" w:w="140"/>
              <w:bottom w:type="dxa" w:w="110"/>
              <w:right w:type="dxa" w:w="140"/>
            </w:tcMar>
            <w:vAlign w:val="center"/>
          </w:tcPr>
          <w:p>
            <w:r>
              <w:rPr>
                <w:b w:val="false"/>
                <w:bCs w:val="false"/>
                <w:color w:val="FFFFFF"/>
                <w:sz w:val="18"/>
                <w:szCs w:val="18"/>
              </w:rPr>
              <w:t xml:space="preserve">Investor subscription</w:t>
            </w:r>
          </w:p>
        </w:tc>
        <w:tc>
          <w:tcPr>
            <w:tcW w:type="dxa" w:w="2160"/>
            <w:tcBorders>
              <w:top w:val="single" w:color="CCCCCC" w:sz="1"/>
              <w:left w:val="single" w:color="CCCCCC" w:sz="1"/>
              <w:bottom w:val="single" w:color="CCCCCC" w:sz="1"/>
              <w:right w:val="single" w:color="CCCCCC" w:sz="1"/>
            </w:tcBorders>
            <w:shd w:fill="2A4A5A" w:val="clear"/>
            <w:tcMar>
              <w:top w:type="dxa" w:w="110"/>
              <w:left w:type="dxa" w:w="140"/>
              <w:bottom w:type="dxa" w:w="110"/>
              <w:right w:type="dxa" w:w="140"/>
            </w:tcMar>
            <w:vAlign w:val="center"/>
          </w:tcPr>
          <w:p>
            <w:r>
              <w:rPr>
                <w:b w:val="false"/>
                <w:bCs w:val="false"/>
                <w:color w:val="FFFFFF"/>
                <w:sz w:val="18"/>
                <w:szCs w:val="18"/>
              </w:rPr>
              <w:t xml:space="preserve">Angels, VCs, micro-funds</w:t>
            </w:r>
          </w:p>
        </w:tc>
        <w:tc>
          <w:tcPr>
            <w:tcW w:type="dxa" w:w="2600"/>
            <w:tcBorders>
              <w:top w:val="single" w:color="CCCCCC" w:sz="1"/>
              <w:left w:val="single" w:color="CCCCCC" w:sz="1"/>
              <w:bottom w:val="single" w:color="CCCCCC" w:sz="1"/>
              <w:right w:val="single" w:color="CCCCCC" w:sz="1"/>
            </w:tcBorders>
            <w:shd w:fill="2A4A5A" w:val="clear"/>
            <w:tcMar>
              <w:top w:type="dxa" w:w="110"/>
              <w:left w:type="dxa" w:w="140"/>
              <w:bottom w:type="dxa" w:w="110"/>
              <w:right w:type="dxa" w:w="140"/>
            </w:tcMar>
            <w:vAlign w:val="center"/>
          </w:tcPr>
          <w:p>
            <w:r>
              <w:rPr>
                <w:b w:val="false"/>
                <w:bCs w:val="false"/>
                <w:color w:val="FFFFFF"/>
                <w:sz w:val="18"/>
                <w:szCs w:val="18"/>
              </w:rPr>
              <w:t xml:space="preserve">₹3,500 – ₹15,000/month</w:t>
            </w:r>
          </w:p>
        </w:tc>
      </w:tr>
      <w:tr>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Refine AI tiers (Builder / Studio)</w:t>
            </w:r>
          </w:p>
        </w:tc>
        <w:tc>
          <w:tcPr>
            <w:tcW w:type="dxa" w:w="216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Serious founders</w:t>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₹999 – ₹2,499/month</w:t>
            </w:r>
          </w:p>
        </w:tc>
      </w:tr>
      <w:tr>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Problem promotion — company pays to surface a problem on the community board</w:t>
            </w:r>
          </w:p>
        </w:tc>
        <w:tc>
          <w:tcPr>
            <w:tcW w:type="dxa" w:w="216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Companies seeking market signal</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₹50K – ₹2L per promotion</w:t>
            </w:r>
          </w:p>
        </w:tc>
      </w:tr>
      <w:tr>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Contextual advertising (IP firms, legal, cloud) — timed to founder journey stage</w:t>
            </w:r>
          </w:p>
        </w:tc>
        <w:tc>
          <w:tcPr>
            <w:tcW w:type="dxa" w:w="216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Service providers</w:t>
            </w:r>
          </w:p>
        </w:tc>
        <w:tc>
          <w:tcPr>
            <w:tcW w:type="dxa" w:w="2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CPC — per click</w:t>
            </w:r>
          </w:p>
        </w:tc>
      </w:tr>
    </w:tbl>
    <w:p>
      <w:pPr>
        <w:spacing w:after="200"/>
      </w:pPr>
      <w:r>
        <w:t xml:space="preserve"/>
      </w:r>
    </w:p>
    <w:p>
      <w:r>
        <w:br w:type="page"/>
      </w:r>
    </w:p>
    <w:p>
      <w:pPr>
        <w:pStyle w:val="Heading1"/>
        <w:spacing w:after="170" w:before="340"/>
      </w:pPr>
      <w:r>
        <w:t xml:space="preserve">Each Stream — Mechanism and Psychology</w:t>
      </w:r>
    </w:p>
    <w:p>
      <w:pPr>
        <w:spacing w:after="120" w:before="0"/>
      </w:pPr>
      <w:r>
        <w:rPr>
          <w:i/>
          <w:iCs/>
          <w:color w:val="595959"/>
          <w:sz w:val="21"/>
          <w:szCs w:val="21"/>
        </w:rPr>
        <w:t xml:space="preserve">What actually happens, why the person on the other side pays, and what needs to be true before each one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Stream</w:t>
            </w:r>
          </w:p>
        </w:tc>
        <w:tc>
          <w:tcPr>
            <w:tcW w:type="dxa" w:w="308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The mechanism — what actually happens</w:t>
            </w:r>
          </w:p>
        </w:tc>
        <w:tc>
          <w:tcPr>
            <w:tcW w:type="dxa" w:w="208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Why they pay (psychology)</w:t>
            </w:r>
          </w:p>
        </w:tc>
        <w:tc>
          <w:tcPr>
            <w:tcW w:type="dxa" w:w="20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top"/>
          </w:tcPr>
          <w:p>
            <w:r>
              <w:rPr>
                <w:b/>
                <w:bCs/>
                <w:color w:val="FFFFFF"/>
                <w:sz w:val="19"/>
                <w:szCs w:val="19"/>
              </w:rPr>
              <w:t xml:space="preserve">What activates it</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Corporate problem validation sprint</w:t>
            </w:r>
          </w:p>
        </w:tc>
        <w:tc>
          <w:tcPr>
            <w:tcW w:type="dxa" w:w="3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A company submits a product hypothesis. Something runs it through the community problem board (real upvotes from real people) and then through a premium Nothing pipeline. Multiple community reviewers vote on whether it's a real problem worth solving. Something returns a structured validation report in 5 days.</w:t>
            </w:r>
          </w:p>
        </w:tc>
        <w:tc>
          <w:tcPr>
            <w:tcW w:type="dxa" w:w="2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McKinsey charges ₹50L for worse data. Something does it in 5 days with live signal from people actually trying to solve problems. Product managers pay to avoid building the wrong thing for 6 months.</w:t>
            </w:r>
          </w:p>
        </w:tc>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Once the community problem board has 5,000+ active voters. Signal is meaningless below that.</w:t>
            </w:r>
          </w:p>
        </w:tc>
      </w:tr>
      <w:tr>
        <w:tc>
          <w:tcPr>
            <w:tcW w:type="dxa" w:w="22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Accelerator cohort access</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Accelerators pay a monthly retainer for early access to Something's verified idea cohort — ideas that have passed proof-of-work and adversarial review — before they go public on the platform. They get a first look at pre-filtered applicants.</w:t>
            </w:r>
          </w:p>
        </w:tc>
        <w:tc>
          <w:tcPr>
            <w:tcW w:type="dxa" w:w="2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Accelerators currently review thousands of cold applications manually. Something gives them 50 pre-vetted ideas per month. They pay for the filtering, not the ideas. Saves them analyst hours and improves batch quality.</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Month 6 onwards. Needs a verified cohort to show as proof the quality is real.</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1% equity on forwarded pitch</w:t>
            </w:r>
          </w:p>
        </w:tc>
        <w:tc>
          <w:tcPr>
            <w:tcW w:type="dxa" w:w="3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Founder gets free critique → works on it → pays ₹83 to resubmit → passes → signs agreement form → Something forwards to matched investors with its name on it. Agreement: if within 1 month the founder receives a response from a forwarded investor and the deal progresses to funding, Something keeps 1% equity.</w:t>
            </w:r>
          </w:p>
        </w:tc>
        <w:tc>
          <w:tcPr>
            <w:tcW w:type="dxa" w:w="2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The 'forwarded by Something' signal is not a cold pitch. It means the idea survived adversarial review, proof-of-work verification, and a human re-evaluation. Something puts its name on it — which it only does for ideas it believes in because it has skin in the game. Investors trust it more. Founders want access to it.</w:t>
            </w:r>
          </w:p>
        </w:tc>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Month 8. Requires the investor pool to be large enough for forwarding to be meaningful.</w:t>
            </w:r>
          </w:p>
        </w:tc>
      </w:tr>
      <w:tr>
        <w:tc>
          <w:tcPr>
            <w:tcW w:type="dxa" w:w="22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5% community funding take rate</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Once a verified idea is posted and raises community funding, Something takes 5% of the total capital raised — but only when the founder hits their stated target. If the round doesn't close, Something takes nothing.</w:t>
            </w:r>
          </w:p>
        </w:tc>
        <w:tc>
          <w:tcPr>
            <w:tcW w:type="dxa" w:w="2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Pure alignment. The platform makes money when the founder succeeds. No adversarial dynamic. Identical structure to Kickstarter's 5% model — founders already understand this logic.</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Month 9. After at least one successful community funding round exists as proof the mechanism works.</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VC scout fee</w:t>
            </w:r>
          </w:p>
        </w:tc>
        <w:tc>
          <w:tcPr>
            <w:tcW w:type="dxa" w:w="3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A VC fund pays Something a monthly retainer to receive thesis-matched ideas flagged before they go public on the platform. If the VC invests in a flagged idea, Something earns a success fee on top of the retainer.</w:t>
            </w:r>
          </w:p>
        </w:tc>
        <w:tc>
          <w:tcPr>
            <w:tcW w:type="dxa" w:w="2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VCs already pay scouts — usually 1–2% of deal carry — to surface early ideas. Nobody has built the infrastructure to do this systematically. Something's matching engine does it automatically. The VC pays for early access to a filtered pipeline, not for a person.</w:t>
            </w:r>
          </w:p>
        </w:tc>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Year 1. Needs a large enough verified idea pool that early access is genuinely valuable.</w:t>
            </w:r>
          </w:p>
        </w:tc>
      </w:tr>
      <w:tr>
        <w:tc>
          <w:tcPr>
            <w:tcW w:type="dxa" w:w="22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Verified talent placement</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95%+ of founders who go through Something will not raise. They are still verified builders with proof of work on record. Companies hiring technical founder types pay Something a placement fee to access this pool directly — not through a job board, through a structured introduction.</w:t>
            </w:r>
          </w:p>
        </w:tc>
        <w:tc>
          <w:tcPr>
            <w:tcW w:type="dxa" w:w="2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A hiring manager cannot tell from a resume whether someone can actually build. Something's proof-of-work trail is the receipt. Companies pay ₹1–3L per placement because they are hiring people whose output is already verified, not just claimed.</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Year 1. The placement pool grows with every founder who goes through the platform and doesn't raise — which is most of them.</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Investor subscription</w:t>
            </w:r>
          </w:p>
        </w:tc>
        <w:tc>
          <w:tcPr>
            <w:tcW w:type="dxa" w:w="3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Monthly subscription for verified investors. Gives access to Ghost Mode browsing, thesis-matched deal flow, and the Warm Intro Machine signal report. 30-day free trial before any charge.</w:t>
            </w:r>
          </w:p>
        </w:tc>
        <w:tc>
          <w:tcPr>
            <w:tcW w:type="dxa" w:w="2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Investors pay to not waste time. The frame is: 50+ unfiltered cold pitches per week versus a curated feed of proof-of-work-verified ideas matched to your actual investment history. One funded deal from this feed pays for years of subscription.</w:t>
            </w:r>
          </w:p>
        </w:tc>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Month 6. After the investor has seen one full cycle of verified deal flow during the trial.</w:t>
            </w:r>
          </w:p>
        </w:tc>
      </w:tr>
      <w:tr>
        <w:tc>
          <w:tcPr>
            <w:tcW w:type="dxa" w:w="22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Refine AI tiers</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Free: 3 sessions/month — genuinely useful, not crippled. Builder (₹999/month): unlimited sessions, detailed Nothing critique, patent conflict scan. Studio (₹2,499/month): everything in Builder plus priority queue and exportable investor-ready PDF.</w:t>
            </w:r>
          </w:p>
        </w:tc>
        <w:tc>
          <w:tcPr>
            <w:tcW w:type="dxa" w:w="208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The free tier shows you exactly what you're missing. A founder who has run 3 sessions and is about to submit a fourth idea upgrades naturally — not because of a paywall but because they've already seen the value and want more of it.</w:t>
            </w:r>
          </w:p>
        </w:tc>
        <w:tc>
          <w:tcPr>
            <w:tcW w:type="dxa" w:w="2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top"/>
          </w:tcPr>
          <w:p>
            <w:r>
              <w:rPr>
                <w:b w:val="false"/>
                <w:bCs w:val="false"/>
                <w:color w:val="1A1A1A"/>
                <w:sz w:val="19"/>
                <w:szCs w:val="19"/>
              </w:rPr>
              <w:t xml:space="preserve">Month 6 alongside investor subscription.</w:t>
            </w:r>
          </w:p>
        </w:tc>
      </w:tr>
      <w:tr>
        <w:tc>
          <w:tcPr>
            <w:tcW w:type="dxa" w:w="22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Problem promotion</w:t>
            </w:r>
          </w:p>
        </w:tc>
        <w:tc>
          <w:tcPr>
            <w:tcW w:type="dxa" w:w="3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A company pays to surface a specific problem on Something's community board. It goes into the upvote feed as a sponsored problem. Real community votes, real signal — the company gets data on whether people recognise it as a real problem worth solving.</w:t>
            </w:r>
          </w:p>
        </w:tc>
        <w:tc>
          <w:tcPr>
            <w:tcW w:type="dxa" w:w="208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Cheaper than a focus group, faster than a survey, more honest than a customer interview where people are polite. The company gets unfiltered crowd reaction to their hypothesis. Something earns without touching the product.</w:t>
            </w:r>
          </w:p>
        </w:tc>
        <w:tc>
          <w:tcPr>
            <w:tcW w:type="dxa" w:w="2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top"/>
          </w:tcPr>
          <w:p>
            <w:r>
              <w:rPr>
                <w:b w:val="false"/>
                <w:bCs w:val="false"/>
                <w:color w:val="1A1A1A"/>
                <w:sz w:val="19"/>
                <w:szCs w:val="19"/>
              </w:rPr>
              <w:t xml:space="preserve">Once the problem board has enough active users to generate meaningful signal.</w:t>
            </w:r>
          </w:p>
        </w:tc>
      </w:tr>
    </w:tbl>
    <w:p>
      <w:pPr>
        <w:spacing w:after="200"/>
      </w:pPr>
      <w:r>
        <w:t xml:space="preserve"/>
      </w:r>
    </w:p>
    <w:p>
      <w:r>
        <w:br w:type="page"/>
      </w:r>
    </w:p>
    <w:p>
      <w:pPr>
        <w:pStyle w:val="Heading1"/>
        <w:spacing w:after="170" w:before="340"/>
      </w:pPr>
      <w:r>
        <w:t xml:space="preserve">The Three Streams Nobody Else Has</w:t>
      </w:r>
    </w:p>
    <w:p>
      <w:pPr>
        <w:pStyle w:val="Heading2"/>
        <w:spacing w:after="100" w:before="260"/>
      </w:pPr>
      <w:r>
        <w:t xml:space="preserve">1. Corporate Problem Validation Sprint</w:t>
      </w:r>
    </w:p>
    <w:p>
      <w:pPr>
        <w:spacing w:after="130" w:before="0"/>
      </w:pPr>
      <w:r>
        <w:rPr>
          <w:color w:val="1A1A1A"/>
          <w:sz w:val="21"/>
          <w:szCs w:val="21"/>
        </w:rPr>
        <w:t xml:space="preserve">A company wants to know if a specific problem is real before committing engineering time to it. They submit their hypothesis. Something runs it through the community problem board — real people upvoting or ignoring it — and then through a premium Nothing pipeline where multiple reviewers evaluate it with the skeptic's frame. The output is a structured validation report in 5 days.</w:t>
      </w:r>
    </w:p>
    <w:p>
      <w:pPr>
        <w:spacing w:after="130" w:before="0"/>
      </w:pPr>
      <w:r>
        <w:rPr>
          <w:color w:val="1A1A1A"/>
          <w:sz w:val="21"/>
          <w:szCs w:val="21"/>
        </w:rPr>
        <w:t xml:space="preserve">The company is not paying for AI. They are paying for access to Something's crowd — tens of thousands of people who actively care about real problems. That crowd does not exist anywhere else. A market research firm would take 6 weeks and charge 10x more for worse signal.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4E5F" w:sz="14"/>
              <w:bottom w:val="none" w:color="FFFFFF" w:sz="0"/>
              <w:right w:val="none" w:color="FFFFFF" w:sz="0"/>
            </w:tcBorders>
            <w:shd w:fill="EAF1F4" w:val="clear"/>
            <w:tcMar>
              <w:top w:type="dxa" w:w="100"/>
              <w:left w:type="dxa" w:w="220"/>
              <w:bottom w:type="dxa" w:w="100"/>
              <w:right w:type="dxa" w:w="220"/>
            </w:tcMar>
          </w:tcPr>
          <w:p>
            <w:pPr>
              <w:spacing w:after="40"/>
            </w:pPr>
            <w:r>
              <w:rPr>
                <w:b/>
                <w:bCs/>
                <w:color w:val="1F4E5F"/>
                <w:sz w:val="19"/>
                <w:szCs w:val="19"/>
              </w:rPr>
              <w:t xml:space="preserve">The data angle Somay identified</w:t>
            </w:r>
          </w:p>
          <w:p>
            <w:pPr>
              <w:spacing w:after="0"/>
            </w:pPr>
            <w:r>
              <w:rPr>
                <w:color w:val="1A1A1A"/>
                <w:sz w:val="19"/>
                <w:szCs w:val="19"/>
              </w:rPr>
              <w:t xml:space="preserve">This mechanism also works in reverse: Something can proactively package and sell quarterly anonymized insight reports — what problems are getting upvoted, which sectors founders are building in, where ideas are failing in adversarial review. VCs and accelerators buy this as market intelligence. One report sold to 10 institutional buyers at ₹1L each is ₹10L with no additional platform usage required.</w:t>
            </w:r>
          </w:p>
        </w:tc>
      </w:tr>
    </w:tbl>
    <w:p>
      <w:pPr>
        <w:spacing w:after="160"/>
      </w:pPr>
      <w:r>
        <w:t xml:space="preserve"/>
      </w:r>
    </w:p>
    <w:p>
      <w:pPr>
        <w:pStyle w:val="Heading2"/>
        <w:spacing w:after="100" w:before="260"/>
      </w:pPr>
      <w:r>
        <w:t xml:space="preserve">2. VC Scout Fee</w:t>
      </w:r>
    </w:p>
    <w:p>
      <w:pPr>
        <w:spacing w:after="130" w:before="0"/>
      </w:pPr>
      <w:r>
        <w:rPr>
          <w:color w:val="1A1A1A"/>
          <w:sz w:val="21"/>
          <w:szCs w:val="21"/>
        </w:rPr>
        <w:t xml:space="preserve">VCs already pay scouts — usually 1–2% carry on deals they source — to identify early ideas before they're publicly fundraising. The scout program exists at every major fund informally. Nobody has built the infrastructure for it at scale.</w:t>
      </w:r>
    </w:p>
    <w:p>
      <w:pPr>
        <w:spacing w:after="130" w:before="0"/>
      </w:pPr>
      <w:r>
        <w:rPr>
          <w:color w:val="1A1A1A"/>
          <w:sz w:val="21"/>
          <w:szCs w:val="21"/>
        </w:rPr>
        <w:t xml:space="preserve">Something systematizes it. A VC pays a monthly retainer to receive thesis-matched ideas flagged before they go live on the public platform. If they invest in a flagged idea, Something earns a success fee on top of the retainer. The VC is not paying for a person — they are paying for Something's matching engine to run their thesis against a verified pipeline automatically.</w:t>
      </w:r>
    </w:p>
    <w:p>
      <w:pPr>
        <w:spacing w:after="160"/>
      </w:pPr>
      <w:r>
        <w:t xml:space="preserve"/>
      </w:r>
    </w:p>
    <w:p>
      <w:pPr>
        <w:pStyle w:val="Heading2"/>
        <w:spacing w:after="100" w:before="260"/>
      </w:pPr>
      <w:r>
        <w:t xml:space="preserve">3. Verified Talent Placement</w:t>
      </w:r>
    </w:p>
    <w:p>
      <w:pPr>
        <w:spacing w:after="130" w:before="0"/>
      </w:pPr>
      <w:r>
        <w:rPr>
          <w:color w:val="1A1A1A"/>
          <w:sz w:val="21"/>
          <w:szCs w:val="21"/>
        </w:rPr>
        <w:t xml:space="preserve">Most founders who go through Something will not raise. That is not a failure — it is the majority of the funnel by definition. Those founders are still verified builders. They submitted proof of work. They ran their idea through adversarial review. Their output is on record.</w:t>
      </w:r>
    </w:p>
    <w:p>
      <w:pPr>
        <w:spacing w:after="130" w:before="0"/>
      </w:pPr>
      <w:r>
        <w:rPr>
          <w:color w:val="1A1A1A"/>
          <w:sz w:val="21"/>
          <w:szCs w:val="21"/>
        </w:rPr>
        <w:t xml:space="preserve">A company hiring a technical founder-type cannot verify from a resume whether someone can actually build. Something's proof-of-work trail is the receipt. Structured introductions to verified builders — not a job board listing, a direct placement — at ₹1–3L per hire. The placement pool grows silently with every person who goes through the platform, whether or not they raise.</w:t>
      </w:r>
    </w:p>
    <w:p>
      <w:pPr>
        <w:spacing w:after="200"/>
      </w:pPr>
      <w:r>
        <w:t xml:space="preserve"/>
      </w:r>
    </w:p>
    <w:p>
      <w:pPr>
        <w:pStyle w:val="Heading1"/>
        <w:spacing w:after="170" w:before="340"/>
      </w:pPr>
      <w:r>
        <w:t xml:space="preserve">The 1% Equity Forwarding Mechanic — In Detail</w:t>
      </w:r>
    </w:p>
    <w:p>
      <w:pPr>
        <w:spacing w:after="130" w:before="0"/>
      </w:pPr>
      <w:r>
        <w:rPr>
          <w:color w:val="1A1A1A"/>
          <w:sz w:val="21"/>
          <w:szCs w:val="21"/>
        </w:rPr>
        <w:t xml:space="preserve">This is the stream that builds Something's long-term equity portfolio. The full flow:</w:t>
      </w:r>
    </w:p>
    <w:p>
      <w:pPr>
        <w:pStyle w:val="ListParagraph"/>
        <w:numPr>
          <w:ilvl w:val="0"/>
          <w:numId w:val="2"/>
        </w:numPr>
        <w:spacing w:after="80"/>
      </w:pPr>
      <w:r>
        <w:rPr>
          <w:sz w:val="21"/>
          <w:szCs w:val="21"/>
        </w:rPr>
        <w:t xml:space="preserve">Founder submits idea — free first pitch. Gets Something's critique. Works on it.</w:t>
      </w:r>
    </w:p>
    <w:p>
      <w:pPr>
        <w:pStyle w:val="ListParagraph"/>
        <w:numPr>
          <w:ilvl w:val="0"/>
          <w:numId w:val="2"/>
        </w:numPr>
        <w:spacing w:after="80"/>
      </w:pPr>
      <w:r>
        <w:rPr>
          <w:sz w:val="21"/>
          <w:szCs w:val="21"/>
        </w:rPr>
        <w:t xml:space="preserve">Founder resubmits — ₹83 fee. Forces genuine improvement before resubmission, not a retry.</w:t>
      </w:r>
    </w:p>
    <w:p>
      <w:pPr>
        <w:pStyle w:val="ListParagraph"/>
        <w:numPr>
          <w:ilvl w:val="0"/>
          <w:numId w:val="2"/>
        </w:numPr>
        <w:spacing w:after="80"/>
      </w:pPr>
      <w:r>
        <w:rPr>
          <w:sz w:val="21"/>
          <w:szCs w:val="21"/>
        </w:rPr>
        <w:t xml:space="preserve">Idea passes human review — Something's team evaluates whether to forward.</w:t>
      </w:r>
    </w:p>
    <w:p>
      <w:pPr>
        <w:pStyle w:val="ListParagraph"/>
        <w:numPr>
          <w:ilvl w:val="0"/>
          <w:numId w:val="2"/>
        </w:numPr>
        <w:spacing w:after="80"/>
      </w:pPr>
      <w:r>
        <w:rPr>
          <w:sz w:val="21"/>
          <w:szCs w:val="21"/>
        </w:rPr>
        <w:t xml:space="preserve">Agreement form signed — if within 1 month of forwarding, the founder receives a response from any forwarded investor and the deal progresses to funding, Something receives 1% equity. No attribution ambiguity — the agreement defines the window and the investor list clearly.</w:t>
      </w:r>
    </w:p>
    <w:p>
      <w:pPr>
        <w:pStyle w:val="ListParagraph"/>
        <w:numPr>
          <w:ilvl w:val="0"/>
          <w:numId w:val="2"/>
        </w:numPr>
        <w:spacing w:after="80"/>
      </w:pPr>
      <w:r>
        <w:rPr>
          <w:sz w:val="21"/>
          <w:szCs w:val="21"/>
        </w:rPr>
        <w:t xml:space="preserve">Something forwards the idea to matched investors with its name on it — this is not a cold pitch. It is a warm introduction from a platform that has skin in the game because it holds equity if the deal closes.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4E5F" w:sz="14"/>
              <w:bottom w:val="none" w:color="FFFFFF" w:sz="0"/>
              <w:right w:val="none" w:color="FFFFFF" w:sz="0"/>
            </w:tcBorders>
            <w:shd w:fill="F0F5F7" w:val="clear"/>
            <w:tcMar>
              <w:top w:type="dxa" w:w="120"/>
              <w:left w:type="dxa" w:w="240"/>
              <w:bottom w:type="dxa" w:w="120"/>
              <w:right w:type="dxa" w:w="240"/>
            </w:tcMar>
          </w:tcPr>
          <w:p>
            <w:r>
              <w:rPr>
                <w:i/>
                <w:iCs/>
                <w:color w:val="1F4E5F"/>
                <w:sz w:val="22"/>
                <w:szCs w:val="22"/>
              </w:rPr>
              <w:t xml:space="preserve">Something only forwards ideas it believes in — because forwarding a bad one costs Something equity in nothing. The investor knows this. The founder knows this. It changes the energy of the entire interaction.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2E" w:sz="14"/>
              <w:bottom w:val="none" w:color="FFFFFF" w:sz="0"/>
              <w:right w:val="none" w:color="FFFFFF" w:sz="0"/>
            </w:tcBorders>
            <w:shd w:fill="E6F4EA" w:val="clear"/>
            <w:tcMar>
              <w:top w:type="dxa" w:w="100"/>
              <w:left w:type="dxa" w:w="220"/>
              <w:bottom w:type="dxa" w:w="100"/>
              <w:right w:type="dxa" w:w="220"/>
            </w:tcMar>
          </w:tcPr>
          <w:p>
            <w:pPr>
              <w:spacing w:after="40"/>
            </w:pPr>
            <w:r>
              <w:rPr>
                <w:b/>
                <w:bCs/>
                <w:color w:val="1A6B2E"/>
                <w:sz w:val="19"/>
                <w:szCs w:val="19"/>
              </w:rPr>
              <w:t xml:space="preserve">The attribution solution</w:t>
            </w:r>
          </w:p>
          <w:p>
            <w:pPr>
              <w:spacing w:after="0"/>
            </w:pPr>
            <w:r>
              <w:rPr>
                <w:color w:val="1A1A1A"/>
                <w:sz w:val="19"/>
                <w:szCs w:val="19"/>
              </w:rPr>
              <w:t xml:space="preserve">The agreement form specifies: the investor list forwarded to, the date of forwarding, and the 1-month response window. If the founder raises from someone not on that list, no equity is owed. If the founder raises from someone on the list within the window, the 1% is triggered. Clean, unambiguous, legally defensible.</w:t>
            </w:r>
          </w:p>
        </w:tc>
      </w:tr>
    </w:tbl>
    <w:p>
      <w:pPr>
        <w:spacing w:after="200"/>
      </w:pPr>
      <w:r>
        <w:t xml:space="preserve"/>
      </w:r>
    </w:p>
    <w:p>
      <w:pPr>
        <w:pStyle w:val="Heading1"/>
        <w:spacing w:after="170" w:before="340"/>
      </w:pPr>
      <w:r>
        <w:t xml:space="preserve">What This Looks Like at Scale</w:t>
      </w:r>
    </w:p>
    <w:p>
      <w:pPr>
        <w:spacing w:after="120" w:before="0"/>
      </w:pPr>
      <w:r>
        <w:rPr>
          <w:i/>
          <w:iCs/>
          <w:color w:val="595959"/>
          <w:sz w:val="21"/>
          <w:szCs w:val="21"/>
        </w:rPr>
        <w:t xml:space="preserve">Conservative projections based on India startup market growth (55,234 new DPIIT-recognized startups in FY2026 alone). All numbers are projections, not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420"/>
        <w:gridCol w:w="1420"/>
        <w:gridCol w:w="1420"/>
        <w:gridCol w:w="1600"/>
      </w:tblGrid>
      <w:tr>
        <w:tc>
          <w:tcPr>
            <w:tcW w:type="dxa" w:w="10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
            </w:r>
          </w:p>
        </w:tc>
        <w:tc>
          <w:tcPr>
            <w:tcW w:type="dxa" w:w="15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Investor subs</w:t>
            </w:r>
          </w:p>
        </w:tc>
        <w:tc>
          <w:tcPr>
            <w:tcW w:type="dxa" w:w="15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Refine tiers</w:t>
            </w:r>
          </w:p>
        </w:tc>
        <w:tc>
          <w:tcPr>
            <w:tcW w:type="dxa" w:w="142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Corp validation
+ problem promo</w:t>
            </w:r>
          </w:p>
        </w:tc>
        <w:tc>
          <w:tcPr>
            <w:tcW w:type="dxa" w:w="142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Community
funding take</w:t>
            </w:r>
          </w:p>
        </w:tc>
        <w:tc>
          <w:tcPr>
            <w:tcW w:type="dxa" w:w="142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Talent
placement</w:t>
            </w:r>
          </w:p>
        </w:tc>
        <w:tc>
          <w:tcPr>
            <w:tcW w:type="dxa" w:w="1600"/>
            <w:tcBorders>
              <w:top w:val="single" w:color="CCCCCC" w:sz="1"/>
              <w:left w:val="single" w:color="CCCCCC" w:sz="1"/>
              <w:bottom w:val="single" w:color="CCCCCC" w:sz="1"/>
              <w:right w:val="single" w:color="CCCCCC" w:sz="1"/>
            </w:tcBorders>
            <w:shd w:fill="1F4E5F" w:val="clear"/>
            <w:tcMar>
              <w:top w:type="dxa" w:w="110"/>
              <w:left w:type="dxa" w:w="140"/>
              <w:bottom w:type="dxa" w:w="110"/>
              <w:right w:type="dxa" w:w="140"/>
            </w:tcMar>
            <w:vAlign w:val="center"/>
          </w:tcPr>
          <w:p>
            <w:r>
              <w:rPr>
                <w:b/>
                <w:bCs/>
                <w:color w:val="FFFFFF"/>
                <w:sz w:val="18"/>
                <w:szCs w:val="18"/>
              </w:rPr>
              <w:t xml:space="preserve">Total ARR</w:t>
            </w:r>
          </w:p>
        </w:tc>
      </w:tr>
      <w:tr>
        <w:tc>
          <w:tcPr>
            <w:tcW w:type="dxa" w:w="1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Month 6
(switch-on)</w:t>
            </w:r>
          </w:p>
        </w:tc>
        <w:tc>
          <w:tcPr>
            <w:tcW w:type="dxa" w:w="15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~₹21L</w:t>
            </w:r>
          </w:p>
        </w:tc>
        <w:tc>
          <w:tcPr>
            <w:tcW w:type="dxa" w:w="15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~₹42L</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₹0</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₹0</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₹0</w:t>
            </w:r>
          </w:p>
        </w:tc>
        <w:tc>
          <w:tcPr>
            <w:tcW w:type="dxa" w:w="1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F4E5F"/>
                <w:sz w:val="18"/>
                <w:szCs w:val="18"/>
              </w:rPr>
              <w:t xml:space="preserve">~₹63L ARR</w:t>
            </w:r>
          </w:p>
        </w:tc>
      </w:tr>
      <w:tr>
        <w:tc>
          <w:tcPr>
            <w:tcW w:type="dxa" w:w="1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Year 1 end</w:t>
            </w:r>
          </w:p>
        </w:tc>
        <w:tc>
          <w:tcPr>
            <w:tcW w:type="dxa" w:w="15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~₹1.3Cr</w:t>
            </w:r>
          </w:p>
        </w:tc>
        <w:tc>
          <w:tcPr>
            <w:tcW w:type="dxa" w:w="15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~₹2.5Cr</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~₹60L</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~₹1Cr</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~₹50L</w:t>
            </w:r>
          </w:p>
        </w:tc>
        <w:tc>
          <w:tcPr>
            <w:tcW w:type="dxa" w:w="1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F4E5F"/>
                <w:sz w:val="18"/>
                <w:szCs w:val="18"/>
              </w:rPr>
              <w:t xml:space="preserve">~₹5.4Cr ARR</w:t>
            </w:r>
          </w:p>
        </w:tc>
      </w:tr>
      <w:tr>
        <w:tc>
          <w:tcPr>
            <w:tcW w:type="dxa" w:w="10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Year 2 end</w:t>
            </w:r>
          </w:p>
        </w:tc>
        <w:tc>
          <w:tcPr>
            <w:tcW w:type="dxa" w:w="15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~₹6.3Cr</w:t>
            </w:r>
          </w:p>
        </w:tc>
        <w:tc>
          <w:tcPr>
            <w:tcW w:type="dxa" w:w="15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~₹12.6Cr</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~₹3Cr</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~₹5Cr</w:t>
            </w:r>
          </w:p>
        </w:tc>
        <w:tc>
          <w:tcPr>
            <w:tcW w:type="dxa" w:w="142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A1A1A"/>
                <w:sz w:val="18"/>
                <w:szCs w:val="18"/>
              </w:rPr>
              <w:t xml:space="preserve">~₹2Cr</w:t>
            </w:r>
          </w:p>
        </w:tc>
        <w:tc>
          <w:tcPr>
            <w:tcW w:type="dxa" w:w="1600"/>
            <w:tcBorders>
              <w:top w:val="single" w:color="CCCCCC" w:sz="1"/>
              <w:left w:val="single" w:color="CCCCCC" w:sz="1"/>
              <w:bottom w:val="single" w:color="CCCCCC" w:sz="1"/>
              <w:right w:val="single" w:color="CCCCCC" w:sz="1"/>
            </w:tcBorders>
            <w:shd w:fill="EAF1F4" w:val="clear"/>
            <w:tcMar>
              <w:top w:type="dxa" w:w="110"/>
              <w:left w:type="dxa" w:w="140"/>
              <w:bottom w:type="dxa" w:w="110"/>
              <w:right w:type="dxa" w:w="140"/>
            </w:tcMar>
            <w:vAlign w:val="center"/>
          </w:tcPr>
          <w:p>
            <w:r>
              <w:rPr>
                <w:b w:val="false"/>
                <w:bCs w:val="false"/>
                <w:color w:val="1F4E5F"/>
                <w:sz w:val="18"/>
                <w:szCs w:val="18"/>
              </w:rPr>
              <w:t xml:space="preserve">~₹29Cr ARR</w:t>
            </w:r>
          </w:p>
        </w:tc>
      </w:tr>
      <w:tr>
        <w:tc>
          <w:tcPr>
            <w:tcW w:type="dxa" w:w="10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Year 3 end</w:t>
            </w:r>
          </w:p>
        </w:tc>
        <w:tc>
          <w:tcPr>
            <w:tcW w:type="dxa" w:w="15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~₹21Cr</w:t>
            </w:r>
          </w:p>
        </w:tc>
        <w:tc>
          <w:tcPr>
            <w:tcW w:type="dxa" w:w="15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~₹42Cr</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~₹10Cr</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~₹20Cr</w:t>
            </w:r>
          </w:p>
        </w:tc>
        <w:tc>
          <w:tcPr>
            <w:tcW w:type="dxa" w:w="142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1A1A"/>
                <w:sz w:val="18"/>
                <w:szCs w:val="18"/>
              </w:rPr>
              <w:t xml:space="preserve">~₹8Cr</w:t>
            </w:r>
          </w:p>
        </w:tc>
        <w:tc>
          <w:tcPr>
            <w:tcW w:type="dxa" w:w="1600"/>
            <w:tcBorders>
              <w:top w:val="single" w:color="CCCCCC" w:sz="1"/>
              <w:left w:val="single" w:color="CCCCCC" w:sz="1"/>
              <w:bottom w:val="single" w:color="CCCCCC" w:sz="1"/>
              <w:right w:val="single" w:color="CCCCCC" w:sz="1"/>
            </w:tcBorders>
            <w:shd w:fill="FFFFFF" w:val="clear"/>
            <w:tcMar>
              <w:top w:type="dxa" w:w="110"/>
              <w:left w:type="dxa" w:w="140"/>
              <w:bottom w:type="dxa" w:w="110"/>
              <w:right w:type="dxa" w:w="140"/>
            </w:tcMar>
            <w:vAlign w:val="center"/>
          </w:tcPr>
          <w:p>
            <w:r>
              <w:rPr>
                <w:b w:val="false"/>
                <w:bCs w:val="false"/>
                <w:color w:val="1A6B2E"/>
                <w:sz w:val="18"/>
                <w:szCs w:val="18"/>
              </w:rPr>
              <w:t xml:space="preserve">~₹101Cr ARR
+ equity portfolio</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2E" w:sz="14"/>
              <w:bottom w:val="none" w:color="FFFFFF" w:sz="0"/>
              <w:right w:val="none" w:color="FFFFFF" w:sz="0"/>
            </w:tcBorders>
            <w:shd w:fill="E6F4EA" w:val="clear"/>
            <w:tcMar>
              <w:top w:type="dxa" w:w="100"/>
              <w:left w:type="dxa" w:w="220"/>
              <w:bottom w:type="dxa" w:w="100"/>
              <w:right w:type="dxa" w:w="220"/>
            </w:tcMar>
          </w:tcPr>
          <w:p>
            <w:pPr>
              <w:spacing w:after="40"/>
            </w:pPr>
            <w:r>
              <w:rPr>
                <w:b/>
                <w:bCs/>
                <w:color w:val="1A6B2E"/>
                <w:sz w:val="19"/>
                <w:szCs w:val="19"/>
              </w:rPr>
              <w:t xml:space="preserve">The Year 3 ₹100Cr milestone</w:t>
            </w:r>
          </w:p>
          <w:p>
            <w:pPr>
              <w:spacing w:after="0"/>
            </w:pPr>
            <w:r>
              <w:rPr>
                <w:color w:val="1A1A1A"/>
                <w:sz w:val="19"/>
                <w:szCs w:val="19"/>
              </w:rPr>
              <w:t xml:space="preserve">The investor count needed (5,000) is 0.7% of India's total funded startup ecosystem. The founder count (50,000) is less than one year of DPIIT's new recognition rate. These are not aggressive assumptions — they are conservative given that Something is purpose-built for exactly this market.</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4E5F" w:sz="14"/>
              <w:bottom w:val="none" w:color="FFFFFF" w:sz="0"/>
              <w:right w:val="none" w:color="FFFFFF" w:sz="0"/>
            </w:tcBorders>
            <w:shd w:fill="F0F5F7" w:val="clear"/>
            <w:tcMar>
              <w:top w:type="dxa" w:w="120"/>
              <w:left w:type="dxa" w:w="240"/>
              <w:bottom w:type="dxa" w:w="120"/>
              <w:right w:type="dxa" w:w="240"/>
            </w:tcMar>
          </w:tcPr>
          <w:p>
            <w:r>
              <w:rPr>
                <w:i/>
                <w:iCs/>
                <w:color w:val="1F4E5F"/>
                <w:sz w:val="22"/>
                <w:szCs w:val="22"/>
              </w:rPr>
              <w:t xml:space="preserve">The equity portfolio runs in parallel and is not in this table. Every 1% stake taken on a forwarded pitch that raises and grows is compounding value that accrues independently of ARR. At scale this is the most valuable part of the business — it just takes the longest to realize.</w:t>
            </w:r>
          </w:p>
        </w:tc>
      </w:tr>
    </w:tbl>
    <w:p>
      <w:pPr>
        <w:spacing w:after="200"/>
      </w:pPr>
      <w:r>
        <w:t xml:space="preserve"/>
      </w:r>
    </w:p>
    <w:p>
      <w:pPr>
        <w:pStyle w:val="Heading1"/>
        <w:spacing w:after="170" w:before="340"/>
      </w:pPr>
      <w:r>
        <w:t xml:space="preserve">Cost Structure</w:t>
      </w:r>
    </w:p>
    <w:p>
      <w:pPr>
        <w:spacing w:after="130" w:before="0"/>
      </w:pPr>
      <w:r>
        <w:rPr>
          <w:color w:val="1A1A1A"/>
          <w:sz w:val="21"/>
          <w:szCs w:val="21"/>
        </w:rPr>
        <w:t xml:space="preserve">The main costs are not complicated. The main risk is AI inference.</w:t>
      </w:r>
    </w:p>
    <w:p>
      <w:pPr>
        <w:pStyle w:val="ListParagraph"/>
        <w:numPr>
          <w:ilvl w:val="0"/>
          <w:numId w:val="2"/>
        </w:numPr>
        <w:spacing w:after="80"/>
      </w:pPr>
      <w:r>
        <w:rPr>
          <w:sz w:val="21"/>
          <w:szCs w:val="21"/>
        </w:rPr>
        <w:t xml:space="preserve">AI inference (Refine sessions): the primary COGS risk. Unlimited Refine tiers at scale mean per-session inference cost multiplies with usage. Mitigation: fair-use ceiling on 'unlimited' tiers (30 sessions/month), monitor cost-per-active-user monthly. Target gross margin: 65–75%.</w:t>
      </w:r>
    </w:p>
    <w:p>
      <w:pPr>
        <w:pStyle w:val="ListParagraph"/>
        <w:numPr>
          <w:ilvl w:val="0"/>
          <w:numId w:val="2"/>
        </w:numPr>
        <w:spacing w:after="80"/>
      </w:pPr>
      <w:r>
        <w:rPr>
          <w:sz w:val="21"/>
          <w:szCs w:val="21"/>
        </w:rPr>
        <w:t xml:space="preserve">Engineering: matching engine, platform infrastructure, the Nothing pipeline, community board. Team cost — covered in Doc 11 (Use of Funds).</w:t>
      </w:r>
    </w:p>
    <w:p>
      <w:pPr>
        <w:pStyle w:val="ListParagraph"/>
        <w:numPr>
          <w:ilvl w:val="0"/>
          <w:numId w:val="2"/>
        </w:numPr>
        <w:spacing w:after="80"/>
      </w:pPr>
      <w:r>
        <w:rPr>
          <w:sz w:val="21"/>
          <w:szCs w:val="21"/>
        </w:rPr>
        <w:t xml:space="preserve">Legal (L2 fund structure): registering an AIF (Alternative Investment Fund) under SEBI regulations to legally hold equity in Indian companies. One-time setup cost, Year 2. Must be initiated at raise close.</w:t>
      </w:r>
    </w:p>
    <w:p>
      <w:pPr>
        <w:pStyle w:val="ListParagraph"/>
        <w:numPr>
          <w:ilvl w:val="0"/>
          <w:numId w:val="2"/>
        </w:numPr>
        <w:spacing w:after="80"/>
      </w:pPr>
      <w:r>
        <w:rPr>
          <w:sz w:val="21"/>
          <w:szCs w:val="21"/>
        </w:rPr>
        <w:t xml:space="preserve">Human review for forwarded pitches: the 1% equity stream requires a human judgment call on which ideas to forward. This is a quality gate, not a cost problem — but it does not scale infinitely without a team.</w:t>
      </w:r>
    </w:p>
    <w:p>
      <w:pPr>
        <w:pStyle w:val="ListParagraph"/>
        <w:numPr>
          <w:ilvl w:val="0"/>
          <w:numId w:val="2"/>
        </w:numPr>
        <w:spacing w:after="80"/>
      </w:pPr>
      <w:r>
        <w:rPr>
          <w:sz w:val="21"/>
          <w:szCs w:val="21"/>
        </w:rPr>
        <w:t xml:space="preserve">Competition prize pool and influencer program prizes: funded from the raise as a one-time allocation per cohort, not an ongoing operational cost.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A4F00" w:sz="6"/>
              <w:left w:val="dashed" w:color="7A4F00" w:sz="6"/>
              <w:bottom w:val="dashed" w:color="7A4F00" w:sz="6"/>
              <w:right w:val="dashed" w:color="7A4F00" w:sz="6"/>
            </w:tcBorders>
            <w:shd w:fill="FFF8E1" w:val="clear"/>
            <w:tcMar>
              <w:top w:type="dxa" w:w="100"/>
              <w:left w:type="dxa" w:w="180"/>
              <w:bottom w:type="dxa" w:w="100"/>
              <w:right w:type="dxa" w:w="180"/>
            </w:tcMar>
          </w:tcPr>
          <w:p>
            <w:r>
              <w:rPr>
                <w:b/>
                <w:bCs/>
                <w:color w:val="7A4F00"/>
                <w:sz w:val="19"/>
                <w:szCs w:val="19"/>
              </w:rPr>
              <w:t xml:space="preserve">VISUAL PLACEHOLDER — Revenue mix chart — stacked bar from Month 6 through Year 3. Show how revenue shifts from subscription-heavy early on to multi-stream at scale. Annotate the ₹100Cr ARR milestone on the Year 3 bar. Equity portfolio shown as a separate dashed line growing independently.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Something — Business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120"/>
      <w:outlineLvl w:val="0"/>
    </w:pPr>
    <w:rPr>
      <w:rFonts w:ascii="Arial" w:cs="Arial" w:eastAsia="Arial" w:hAnsi="Arial"/>
      <w:b/>
      <w:bCs/>
      <w:color w:val="1F4E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5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A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2026-07-05T05:24:43.924Z</dcterms:created>
  <dcterms:modified xsi:type="dcterms:W3CDTF">2026-07-05T05:24:43.925Z</dcterms:modified>
</cp:coreProperties>
</file>

<file path=docProps/custom.xml><?xml version="1.0" encoding="utf-8"?>
<Properties xmlns="http://schemas.openxmlformats.org/officeDocument/2006/custom-properties" xmlns:vt="http://schemas.openxmlformats.org/officeDocument/2006/docPropsVTypes"/>
</file>