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17332" w14:textId="77777777" w:rsid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</w:p>
    <w:p w14:paraId="0AE534D5" w14:textId="6DB5CFA3" w:rsid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  <w:hyperlink r:id="rId5" w:anchor="tab-recent-activity" w:history="1">
        <w:r w:rsidRPr="00C9116F">
          <w:rPr>
            <w:rStyle w:val="Hyperlink"/>
            <w:rFonts w:ascii="inherit" w:eastAsia="Times New Roman" w:hAnsi="inherit" w:cs="Times New Roman"/>
            <w:kern w:val="0"/>
            <w:sz w:val="18"/>
            <w:szCs w:val="18"/>
            <w14:ligatures w14:val="none"/>
          </w:rPr>
          <w:t>https://openreview.net/group?id=thecvf.com/WACV/2027/Workshop/FABRIC#tab-recent-activity</w:t>
        </w:r>
      </w:hyperlink>
    </w:p>
    <w:p w14:paraId="6731AD11" w14:textId="0A6D625C" w:rsid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  <w:r w:rsidRPr="00BA1FFB"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  <w:t>https://sites.google.com/view/fabric-wacv/call-for-papers</w:t>
      </w:r>
    </w:p>
    <w:p w14:paraId="2A39A85B" w14:textId="77777777" w:rsid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</w:p>
    <w:p w14:paraId="6E10F070" w14:textId="77777777" w:rsid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</w:p>
    <w:p w14:paraId="6F2221DD" w14:textId="77777777" w:rsid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</w:p>
    <w:p w14:paraId="5A757F42" w14:textId="77777777" w:rsid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</w:p>
    <w:p w14:paraId="34D45FFA" w14:textId="1AE4E6C3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</w:pPr>
      <w:r w:rsidRPr="00BA1FFB">
        <w:rPr>
          <w:rFonts w:ascii="inherit" w:eastAsia="Times New Roman" w:hAnsi="inherit" w:cs="Times New Roman"/>
          <w:color w:val="A7A7A7"/>
          <w:kern w:val="0"/>
          <w:sz w:val="18"/>
          <w:szCs w:val="18"/>
          <w14:ligatures w14:val="none"/>
        </w:rPr>
        <w:t>Sep 21, 12:44 PM</w:t>
      </w:r>
    </w:p>
    <w:p w14:paraId="5272CAF8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Segoe UI" w:eastAsia="Times New Roman" w:hAnsi="Segoe UI" w:cs="Segoe UI"/>
          <w:color w:val="1F1F1F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color w:val="1F1F1F"/>
          <w:kern w:val="0"/>
          <w:sz w:val="21"/>
          <w:szCs w:val="21"/>
          <w14:ligatures w14:val="none"/>
        </w:rPr>
        <w:t>To make the paper competitive for </w:t>
      </w:r>
      <w:r w:rsidRPr="00BA1FFB">
        <w:rPr>
          <w:rFonts w:ascii="inherit" w:eastAsia="Times New Roman" w:hAnsi="inherit" w:cs="Segoe UI"/>
          <w:b/>
          <w:bCs/>
          <w:color w:val="1F1F1F"/>
          <w:kern w:val="0"/>
          <w:sz w:val="21"/>
          <w:szCs w:val="21"/>
          <w:bdr w:val="single" w:sz="2" w:space="0" w:color="E5E5E5" w:frame="1"/>
          <w14:ligatures w14:val="none"/>
        </w:rPr>
        <w:t>FABRIC 2027 @ WACV 2027 (Workshop on Foundation AI for Biomedical Reasoning, Imaging, and Cognition)</w:t>
      </w:r>
      <w:r w:rsidRPr="00BA1FFB">
        <w:rPr>
          <w:rFonts w:ascii="Segoe UI" w:eastAsia="Times New Roman" w:hAnsi="Segoe UI" w:cs="Segoe UI"/>
          <w:color w:val="1F1F1F"/>
          <w:kern w:val="0"/>
          <w:sz w:val="21"/>
          <w:szCs w:val="21"/>
          <w14:ligatures w14:val="none"/>
        </w:rPr>
        <w:t>, several targeted modifications are required. Currently, the draft resembles a Georgia Tech CS7643 deep learning course project report (comparing standard supervised ImageNet-pretrained ViT vs. EfficientNet on HAM10000).</w:t>
      </w:r>
    </w:p>
    <w:p w14:paraId="18E15B12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240" w:line="240" w:lineRule="auto"/>
        <w:rPr>
          <w:rFonts w:ascii="Segoe UI" w:eastAsia="Times New Roman" w:hAnsi="Segoe UI" w:cs="Segoe UI"/>
          <w:color w:val="1F1F1F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color w:val="1F1F1F"/>
          <w:kern w:val="0"/>
          <w:sz w:val="21"/>
          <w:szCs w:val="21"/>
          <w14:ligatures w14:val="none"/>
        </w:rPr>
        <w:t>Below is the comprehensive list of required changes organized by category:</w:t>
      </w:r>
    </w:p>
    <w:p w14:paraId="186F8640" w14:textId="77777777" w:rsidR="00BA1FFB" w:rsidRPr="00BA1FFB" w:rsidRDefault="004B13B7" w:rsidP="00BA1FF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204358D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7E0E62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60" w:line="420" w:lineRule="atLeast"/>
        <w:outlineLvl w:val="2"/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  <w:t>1. Reframing the Narrative for "Foundation AI" (Top Priority)</w:t>
      </w:r>
    </w:p>
    <w:p w14:paraId="43FA83DE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240" w:line="240" w:lineRule="auto"/>
        <w:rPr>
          <w:rFonts w:ascii="Segoe UI" w:eastAsia="Times New Roman" w:hAnsi="Segoe UI" w:cs="Segoe UI"/>
          <w:color w:val="1F1F1F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color w:val="1F1F1F"/>
          <w:kern w:val="0"/>
          <w:sz w:val="21"/>
          <w:szCs w:val="21"/>
          <w14:ligatures w14:val="none"/>
        </w:rPr>
        <w:t>FABRIC specifically solicits research on large foundation models, biomedical reasoning, and clinical trustworthiness.</w:t>
      </w:r>
    </w:p>
    <w:p w14:paraId="7CA1B350" w14:textId="77777777" w:rsidR="00BA1FFB" w:rsidRPr="00BA1FFB" w:rsidRDefault="00BA1FFB" w:rsidP="00BA1FFB">
      <w:pPr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Reposition ViT as the Core Architecture of Vision Foundation Models (VFMs):</w:t>
      </w:r>
    </w:p>
    <w:p w14:paraId="6268F1D5" w14:textId="77777777" w:rsidR="00BA1FFB" w:rsidRPr="00BA1FFB" w:rsidRDefault="00BA1FFB" w:rsidP="00BA1FFB">
      <w:pPr>
        <w:numPr>
          <w:ilvl w:val="1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Current state: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Framed as a standard classification model comparison (ImageNet transfer learning).</w:t>
      </w:r>
    </w:p>
    <w:p w14:paraId="6F125643" w14:textId="77777777" w:rsidR="00BA1FFB" w:rsidRPr="00BA1FFB" w:rsidRDefault="00BA1FFB" w:rsidP="00BA1FFB">
      <w:pPr>
        <w:numPr>
          <w:ilvl w:val="1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Change: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Reframe the paper around the question: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"As clinical AI shifts from CNNs to large Transformer-based Vision Foundation Models (VFMs), does diagnostic gain come at the expense of explanation faithfulness and spatial localization?"</w:t>
      </w:r>
    </w:p>
    <w:p w14:paraId="2D843909" w14:textId="77777777" w:rsidR="00BA1FFB" w:rsidRPr="00BA1FFB" w:rsidRDefault="00BA1FFB" w:rsidP="00BA1FFB">
      <w:pPr>
        <w:numPr>
          <w:ilvl w:val="1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Discuss how ViT backbones (e.g., DINOv2, BiomedCLIP, UNI, Virchow) represent modern medical vision foundation systems.</w:t>
      </w:r>
    </w:p>
    <w:p w14:paraId="448CC8F0" w14:textId="77777777" w:rsidR="00BA1FFB" w:rsidRPr="00BA1FFB" w:rsidRDefault="00BA1FFB" w:rsidP="00BA1FFB">
      <w:pPr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Emphasize the Clinical Safety Trade-off:</w:t>
      </w:r>
    </w:p>
    <w:p w14:paraId="680581A4" w14:textId="77777777" w:rsidR="00BA1FFB" w:rsidRPr="00BA1FFB" w:rsidRDefault="00BA1FFB" w:rsidP="00BA1FFB">
      <w:pPr>
        <w:numPr>
          <w:ilvl w:val="1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Connect insertion/deletion faithfulness directly to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trustworthy biomedical decision support and cognition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(a primary workshop pillar). Highlight the risk of deploying high-accuracy foundation backbones whose visual rationales are unfaithful or ungrounded.</w:t>
      </w:r>
    </w:p>
    <w:p w14:paraId="364B6458" w14:textId="77777777" w:rsidR="00BA1FFB" w:rsidRPr="00BA1FFB" w:rsidRDefault="004B13B7" w:rsidP="00BA1FF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CDEF26E">
          <v:rect id="Horizontal Line 2" o:spid="_x0000_s1027" style="width:402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5554FCD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60" w:line="420" w:lineRule="atLeast"/>
        <w:outlineLvl w:val="2"/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  <w:t>2. Methodological &amp; Experimental Strengthenings</w:t>
      </w:r>
    </w:p>
    <w:p w14:paraId="34E3180E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  <w:t>A. Decouple Architecture from Explanation Method (Major Reviewer Vulnerability)</w:t>
      </w:r>
    </w:p>
    <w:p w14:paraId="071EADDA" w14:textId="77777777" w:rsidR="00BA1FFB" w:rsidRPr="00BA1FFB" w:rsidRDefault="00BA1FFB" w:rsidP="00BA1FFB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The Issue: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The paper currently pairs EfficientNet with Grad-CAM and ViT with Attention Rollout. Reviewers will note that comparing different attribution methods confounds model behavior with explanation algorithm behavior.</w:t>
      </w:r>
    </w:p>
    <w:p w14:paraId="3F0032BA" w14:textId="77777777" w:rsidR="00BA1FFB" w:rsidRPr="00BA1FFB" w:rsidRDefault="00BA1FFB" w:rsidP="00BA1FFB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Required Action:</w:t>
      </w:r>
    </w:p>
    <w:p w14:paraId="05A6DBB2" w14:textId="77777777" w:rsidR="00BA1FFB" w:rsidRPr="00BA1FFB" w:rsidRDefault="00BA1FFB" w:rsidP="00BA1FFB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Add a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shared, architecture-agnostic attribution baseline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evaluated on both models (e.g.,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RISE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,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Integrated Gradients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, or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KernelSHAP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).</w:t>
      </w:r>
    </w:p>
    <w:p w14:paraId="6D46F222" w14:textId="77777777" w:rsidR="00BA1FFB" w:rsidRPr="00BA1FFB" w:rsidRDefault="00BA1FFB" w:rsidP="00BA1FFB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Alternatively, implement Grad-CAM or Attention-CAM for ViT so both architectures are evaluated with a comparable gradient-weighted attribution method.</w:t>
      </w:r>
    </w:p>
    <w:p w14:paraId="55C40493" w14:textId="77777777" w:rsidR="00BA1FFB" w:rsidRPr="00BA1FFB" w:rsidRDefault="00BA1FFB" w:rsidP="00BA1FFB">
      <w:pPr>
        <w:numPr>
          <w:ilvl w:val="1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If compute time before the deadline is tight, include RISE on a 100–200 sample test subset to prove that the CNN advantage persists under identical attribution mechanics.</w:t>
      </w:r>
    </w:p>
    <w:p w14:paraId="5BF06FC4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  <w:t>B. Multi-Seed Variance / Statistical Error Bars</w:t>
      </w:r>
    </w:p>
    <w:p w14:paraId="31FC8F6A" w14:textId="77777777" w:rsidR="00BA1FFB" w:rsidRPr="00BA1FFB" w:rsidRDefault="00BA1FFB" w:rsidP="00BA1FFB">
      <w:pPr>
        <w:numPr>
          <w:ilvl w:val="0"/>
          <w:numId w:val="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The Issue: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All current results rely strictly on single-seed runs (</w:t>
      </w:r>
      <w:r w:rsidRPr="00BA1FFB">
        <w:rPr>
          <w:rFonts w:ascii="Menlo" w:eastAsia="Times New Roman" w:hAnsi="Menlo" w:cs="Menlo"/>
          <w:color w:val="1F1F1F"/>
          <w:kern w:val="0"/>
          <w:sz w:val="18"/>
          <w:szCs w:val="18"/>
          <w:bdr w:val="single" w:sz="2" w:space="0" w:color="E5E5E5" w:frame="1"/>
          <w:shd w:val="clear" w:color="auto" w:fill="EFEFEF"/>
          <w14:ligatures w14:val="none"/>
        </w:rPr>
        <w:t>seed 42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).</w:t>
      </w:r>
    </w:p>
    <w:p w14:paraId="4116ADD9" w14:textId="77777777" w:rsidR="00BA1FFB" w:rsidRPr="00BA1FFB" w:rsidRDefault="00BA1FFB" w:rsidP="00BA1FFB">
      <w:pPr>
        <w:numPr>
          <w:ilvl w:val="0"/>
          <w:numId w:val="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Required Action:</w:t>
      </w:r>
    </w:p>
    <w:p w14:paraId="1E183D98" w14:textId="77777777" w:rsidR="00BA1FFB" w:rsidRPr="00BA1FFB" w:rsidRDefault="00BA1FFB" w:rsidP="00BA1FFB">
      <w:pPr>
        <w:numPr>
          <w:ilvl w:val="1"/>
          <w:numId w:val="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In the main tables (Tables 4, 6, 9), report results over at least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3 to 5 random seeds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(mean ± standard deviation) for macro-F1, deletion AUC, insertion AUC, and localization IoU.</w:t>
      </w:r>
    </w:p>
    <w:p w14:paraId="22FFA8F1" w14:textId="77777777" w:rsidR="00BA1FFB" w:rsidRPr="00BA1FFB" w:rsidRDefault="00BA1FFB" w:rsidP="00BA1FFB">
      <w:pPr>
        <w:numPr>
          <w:ilvl w:val="1"/>
          <w:numId w:val="3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This removes the limitation that the reported gaps could be seed-specific artifacts.</w:t>
      </w:r>
    </w:p>
    <w:p w14:paraId="4500EC48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  <w:t>C. Address Model Parameter Disparity</w:t>
      </w:r>
    </w:p>
    <w:p w14:paraId="4F7571FA" w14:textId="77777777" w:rsidR="00BA1FFB" w:rsidRPr="00BA1FFB" w:rsidRDefault="00BA1FFB" w:rsidP="00BA1FFB">
      <w:pPr>
        <w:numPr>
          <w:ilvl w:val="0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The Issue: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EfficientNet-B0 has ~5.3M parameters, while ViT-B/16 has ~86M parameters (~16× difference).</w:t>
      </w:r>
    </w:p>
    <w:p w14:paraId="67A26C45" w14:textId="77777777" w:rsidR="00BA1FFB" w:rsidRPr="00BA1FFB" w:rsidRDefault="00BA1FFB" w:rsidP="00BA1FFB">
      <w:pPr>
        <w:numPr>
          <w:ilvl w:val="0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Required Action:</w:t>
      </w:r>
    </w:p>
    <w:p w14:paraId="5D2074D9" w14:textId="77777777" w:rsidR="00BA1FFB" w:rsidRPr="00BA1FFB" w:rsidRDefault="00BA1FFB" w:rsidP="00BA1FFB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Clarify in Section 4.1 and the Limitations section whether ViT's higher macro-F1 (0.748 vs. 0.655) stems from global self-attention or raw capacity.</w:t>
      </w:r>
    </w:p>
    <w:p w14:paraId="412F843F" w14:textId="77777777" w:rsidR="00BA1FFB" w:rsidRPr="00BA1FFB" w:rsidRDefault="00BA1FFB" w:rsidP="00BA1FFB">
      <w:pPr>
        <w:numPr>
          <w:ilvl w:val="1"/>
          <w:numId w:val="4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Contrast this sharply with explanation quality: emphasize that despite an order-of-magnitude parameter advantage, ViT exhibits </w:t>
      </w: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lower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faithfulness and worse spatial localization.</w:t>
      </w:r>
    </w:p>
    <w:p w14:paraId="56F12F70" w14:textId="77777777" w:rsidR="00BA1FFB" w:rsidRPr="00BA1FFB" w:rsidRDefault="004B13B7" w:rsidP="00BA1FF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1DD1C54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DB5D19F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60" w:line="420" w:lineRule="atLeast"/>
        <w:outlineLvl w:val="2"/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  <w:t>3. Structural, Formatting, and Presentation Adjustments</w:t>
      </w:r>
    </w:p>
    <w:p w14:paraId="4337BD38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  <w:t>A. Title &amp; Abstract Revision</w:t>
      </w:r>
    </w:p>
    <w:p w14:paraId="4C62DBF1" w14:textId="77777777" w:rsidR="00BA1FFB" w:rsidRPr="00BA1FFB" w:rsidRDefault="00BA1FFB" w:rsidP="00BA1FFB">
      <w:pPr>
        <w:numPr>
          <w:ilvl w:val="0"/>
          <w:numId w:val="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Title: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Update to reflect the foundation AI and clinical trustworthiness theme.</w:t>
      </w:r>
    </w:p>
    <w:p w14:paraId="079C9B26" w14:textId="77777777" w:rsidR="00BA1FFB" w:rsidRPr="00BA1FFB" w:rsidRDefault="00BA1FFB" w:rsidP="00BA1FFB">
      <w:pPr>
        <w:numPr>
          <w:ilvl w:val="1"/>
          <w:numId w:val="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Current: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</w:t>
      </w:r>
      <w:r w:rsidRPr="00BA1FFB">
        <w:rPr>
          <w:rFonts w:ascii="Menlo" w:eastAsia="Times New Roman" w:hAnsi="Menlo" w:cs="Menlo"/>
          <w:color w:val="1F1F1F"/>
          <w:kern w:val="0"/>
          <w:sz w:val="18"/>
          <w:szCs w:val="18"/>
          <w:bdr w:val="single" w:sz="2" w:space="0" w:color="E5E5E5" w:frame="1"/>
          <w:shd w:val="clear" w:color="auto" w:fill="EFEFEF"/>
          <w14:ligatures w14:val="none"/>
        </w:rPr>
        <w:t>Quantifying Explanation Faithfulness and Localization in CNNs vs Vision Transformers for Skin Lesion Classification</w:t>
      </w:r>
    </w:p>
    <w:p w14:paraId="1DF8B82E" w14:textId="77777777" w:rsidR="00BA1FFB" w:rsidRPr="00BA1FFB" w:rsidRDefault="00BA1FFB" w:rsidP="00BA1FFB">
      <w:pPr>
        <w:numPr>
          <w:ilvl w:val="1"/>
          <w:numId w:val="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Suggested: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</w:t>
      </w:r>
      <w:r w:rsidRPr="00BA1FFB">
        <w:rPr>
          <w:rFonts w:ascii="Menlo" w:eastAsia="Times New Roman" w:hAnsi="Menlo" w:cs="Menlo"/>
          <w:color w:val="1F1F1F"/>
          <w:kern w:val="0"/>
          <w:sz w:val="18"/>
          <w:szCs w:val="18"/>
          <w:bdr w:val="single" w:sz="2" w:space="0" w:color="E5E5E5" w:frame="1"/>
          <w:shd w:val="clear" w:color="auto" w:fill="EFEFEF"/>
          <w14:ligatures w14:val="none"/>
        </w:rPr>
        <w:t>Are Foundation Transformer Backbones Faithful? Quantifying Explanation Faithfulness and Localization in Medical Vision Transformers vs. CNNs</w:t>
      </w:r>
    </w:p>
    <w:p w14:paraId="69BE791A" w14:textId="77777777" w:rsidR="00BA1FFB" w:rsidRPr="00BA1FFB" w:rsidRDefault="00BA1FFB" w:rsidP="00BA1FFB">
      <w:pPr>
        <w:numPr>
          <w:ilvl w:val="0"/>
          <w:numId w:val="5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Abstract: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 Add opening sentences framing the transition to transformer-based biomedical foundation models, and conclude with explicit implications for clinical decision support systems (CDSS) and regulatory alignment.</w:t>
      </w:r>
    </w:p>
    <w:p w14:paraId="4B38C3B8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  <w:t>B. WACV / IEEE CVF Template Compliance</w:t>
      </w:r>
    </w:p>
    <w:p w14:paraId="5BB94B8D" w14:textId="77777777" w:rsidR="00BA1FFB" w:rsidRPr="00BA1FFB" w:rsidRDefault="00BA1FFB" w:rsidP="00BA1FFB">
      <w:pPr>
        <w:numPr>
          <w:ilvl w:val="0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Ensure the manuscript conforms strictly to the </w:t>
      </w: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IEEE/CVF WACV 2027 Author Kit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:</w:t>
      </w:r>
    </w:p>
    <w:p w14:paraId="6E9434AA" w14:textId="77777777" w:rsidR="00BA1FFB" w:rsidRPr="00BA1FFB" w:rsidRDefault="00BA1FFB" w:rsidP="00BA1FFB">
      <w:pPr>
        <w:numPr>
          <w:ilvl w:val="1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Double-column format.</w:t>
      </w:r>
    </w:p>
    <w:p w14:paraId="46B552CC" w14:textId="77777777" w:rsidR="00BA1FFB" w:rsidRPr="00BA1FFB" w:rsidRDefault="00BA1FFB" w:rsidP="00BA1FFB">
      <w:pPr>
        <w:numPr>
          <w:ilvl w:val="1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Page budget compliance (typically 4–8 pages excluding references, depending on whether you submit to the Short or Full paper track).</w:t>
      </w:r>
    </w:p>
    <w:p w14:paraId="35362B4F" w14:textId="77777777" w:rsidR="00BA1FFB" w:rsidRPr="00BA1FFB" w:rsidRDefault="00BA1FFB" w:rsidP="00BA1FFB">
      <w:pPr>
        <w:numPr>
          <w:ilvl w:val="1"/>
          <w:numId w:val="6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Anonymized for double-blind review (remove repository URLs that identify authors, such as personal GitHub accounts).</w:t>
      </w:r>
    </w:p>
    <w:p w14:paraId="7A284F4F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Segoe UI" w:eastAsia="Times New Roman" w:hAnsi="Segoe UI" w:cs="Segoe UI"/>
          <w:b/>
          <w:bCs/>
          <w:color w:val="0A0A0A"/>
          <w:kern w:val="0"/>
          <w:sz w:val="21"/>
          <w:szCs w:val="21"/>
          <w14:ligatures w14:val="none"/>
        </w:rPr>
        <w:t>C. Figure &amp; Table Enhancements</w:t>
      </w:r>
    </w:p>
    <w:p w14:paraId="77779331" w14:textId="77777777" w:rsidR="00BA1FFB" w:rsidRPr="00BA1FFB" w:rsidRDefault="00BA1FFB" w:rsidP="00BA1FFB">
      <w:pPr>
        <w:numPr>
          <w:ilvl w:val="0"/>
          <w:numId w:val="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Add Qualitative Visual Comparisons (High Priority):</w:t>
      </w:r>
    </w:p>
    <w:p w14:paraId="4156A4A1" w14:textId="77777777" w:rsidR="00BA1FFB" w:rsidRPr="00BA1FFB" w:rsidRDefault="00BA1FFB" w:rsidP="00BA1FFB">
      <w:pPr>
        <w:numPr>
          <w:ilvl w:val="1"/>
          <w:numId w:val="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Include side-by-side visual examples of skin lesions comparing: </w:t>
      </w:r>
      <w:r w:rsidRPr="00BA1FFB">
        <w:rPr>
          <w:rFonts w:ascii="Menlo" w:eastAsia="Times New Roman" w:hAnsi="Menlo" w:cs="Menlo"/>
          <w:color w:val="1F1F1F"/>
          <w:kern w:val="0"/>
          <w:sz w:val="18"/>
          <w:szCs w:val="18"/>
          <w:bdr w:val="single" w:sz="2" w:space="0" w:color="E5E5E5" w:frame="1"/>
          <w:shd w:val="clear" w:color="auto" w:fill="EFEFEF"/>
          <w14:ligatures w14:val="none"/>
        </w:rPr>
        <w:t>[Original Image] | [Ground-Truth Mask] | [EfficientNet Grad-CAM] | [ViT Rollout] | [Agnostic Attribution]</w:t>
      </w:r>
    </w:p>
    <w:p w14:paraId="33F688A2" w14:textId="77777777" w:rsidR="00BA1FFB" w:rsidRPr="00BA1FFB" w:rsidRDefault="00BA1FFB" w:rsidP="00BA1FFB">
      <w:pPr>
        <w:numPr>
          <w:ilvl w:val="1"/>
          <w:numId w:val="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Show both failure cases (e.g., ViT attending to background skin or border artifacts) and success cases. Visual evidence makes XAI papers significantly more persuasive to CV reviewers.</w:t>
      </w:r>
    </w:p>
    <w:p w14:paraId="13E48805" w14:textId="77777777" w:rsidR="00BA1FFB" w:rsidRPr="00BA1FFB" w:rsidRDefault="00BA1FFB" w:rsidP="00BA1FFB">
      <w:pPr>
        <w:numPr>
          <w:ilvl w:val="0"/>
          <w:numId w:val="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kern w:val="0"/>
          <w:sz w:val="21"/>
          <w:szCs w:val="21"/>
          <w:bdr w:val="single" w:sz="2" w:space="0" w:color="E5E5E5" w:frame="1"/>
          <w14:ligatures w14:val="none"/>
        </w:rPr>
        <w:t>Clarify Table 5 (Per-Class Faithfulness):</w:t>
      </w:r>
    </w:p>
    <w:p w14:paraId="4142E123" w14:textId="77777777" w:rsidR="00BA1FFB" w:rsidRPr="00BA1FFB" w:rsidRDefault="00BA1FFB" w:rsidP="00BA1FFB">
      <w:pPr>
        <w:numPr>
          <w:ilvl w:val="1"/>
          <w:numId w:val="7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0" w:line="240" w:lineRule="auto"/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</w:pP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Highlight the clinical significance: both models achieve higher faithfulness on malignant classes (</w:t>
      </w: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melanoma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, </w:t>
      </w: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bcc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, </w:t>
      </w: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akiec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) than benign classes (</w:t>
      </w:r>
      <w:r w:rsidRPr="00BA1FFB">
        <w:rPr>
          <w:rFonts w:ascii="inherit" w:eastAsia="Times New Roman" w:hAnsi="inherit" w:cs="Segoe UI"/>
          <w:color w:val="0A0A0A"/>
          <w:kern w:val="0"/>
          <w:sz w:val="18"/>
          <w:szCs w:val="18"/>
          <w:bdr w:val="single" w:sz="2" w:space="0" w:color="E5E5E5" w:frame="1"/>
          <w14:ligatures w14:val="none"/>
        </w:rPr>
        <w:t>nv</w:t>
      </w:r>
      <w:r w:rsidRPr="00BA1FFB">
        <w:rPr>
          <w:rFonts w:ascii="inherit" w:eastAsia="Times New Roman" w:hAnsi="inherit" w:cs="Segoe UI"/>
          <w:color w:val="0A0A0A"/>
          <w:kern w:val="0"/>
          <w:sz w:val="21"/>
          <w:szCs w:val="21"/>
          <w14:ligatures w14:val="none"/>
        </w:rPr>
        <w:t>), and discuss why this matters for triage workflows.</w:t>
      </w:r>
    </w:p>
    <w:p w14:paraId="3DC3D3D5" w14:textId="77777777" w:rsidR="00BA1FFB" w:rsidRPr="00BA1FFB" w:rsidRDefault="004B13B7" w:rsidP="00BA1FFB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B13B7">
        <w:rPr>
          <w:rFonts w:ascii="Times New Roman" w:eastAsia="Times New Roman" w:hAnsi="Times New Roman" w:cs="Times New Roman"/>
          <w:noProof/>
          <w:kern w:val="0"/>
        </w:rPr>
        <w:pict w14:anchorId="10E4696E">
          <v:rect id="_x0000_i1025" style="width:0;height:1.5pt" o:hralign="center" o:hrstd="t" o:hr="t" fillcolor="#a0a0a0" stroked="f"/>
        </w:pict>
      </w:r>
    </w:p>
    <w:p w14:paraId="1CA25D3C" w14:textId="77777777" w:rsidR="00BA1FFB" w:rsidRPr="00BA1FFB" w:rsidRDefault="00BA1FFB" w:rsidP="00BA1FFB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8F8F8"/>
        <w:spacing w:after="60" w:line="420" w:lineRule="atLeast"/>
        <w:outlineLvl w:val="2"/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</w:pPr>
      <w:r w:rsidRPr="00BA1FFB">
        <w:rPr>
          <w:rFonts w:ascii="inherit" w:eastAsia="Times New Roman" w:hAnsi="inherit" w:cs="Segoe UI"/>
          <w:b/>
          <w:bCs/>
          <w:color w:val="0A0A0A"/>
          <w:spacing w:val="-7"/>
          <w:kern w:val="0"/>
          <w:sz w:val="27"/>
          <w:szCs w:val="27"/>
          <w14:ligatures w14:val="none"/>
        </w:rPr>
        <w:t>4. Step-by-Step Execution Plan</w:t>
      </w:r>
    </w:p>
    <w:tbl>
      <w:tblPr>
        <w:tblW w:w="1635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2757"/>
        <w:gridCol w:w="12202"/>
      </w:tblGrid>
      <w:tr w:rsidR="00BA1FFB" w:rsidRPr="00BA1FFB" w14:paraId="0FD0EE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  <w:shd w:val="clear" w:color="auto" w:fill="EFEFEF"/>
            <w:vAlign w:val="center"/>
            <w:hideMark/>
          </w:tcPr>
          <w:p w14:paraId="1BDF8BE2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606060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606060"/>
                <w:kern w:val="0"/>
                <w:sz w:val="18"/>
                <w:szCs w:val="18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EFEFEF"/>
            <w:vAlign w:val="center"/>
            <w:hideMark/>
          </w:tcPr>
          <w:p w14:paraId="6A0622B5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606060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606060"/>
                <w:kern w:val="0"/>
                <w:sz w:val="18"/>
                <w:szCs w:val="18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EFEFEF"/>
            <w:vAlign w:val="center"/>
            <w:hideMark/>
          </w:tcPr>
          <w:p w14:paraId="086E7025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606060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606060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BA1FFB" w:rsidRPr="00BA1FFB" w14:paraId="5A648C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5D5EFF8F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207EFAD3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Reflect Foundation AI Scope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42693D61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  <w:t>Revise Abstract, Introduction, and Conclusion to position the work around biomedical foundation model architectures and clinical safety.</w:t>
            </w:r>
          </w:p>
        </w:tc>
      </w:tr>
      <w:tr w:rsidR="00BA1FFB" w:rsidRPr="00BA1FFB" w14:paraId="4D46B7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5E5EACF0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711D4C93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Anonymize &amp; Format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0C0F97FF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  <w:t>Format to IEEE/CVF WACV 2027 guidelines; remove identifying student/repo details for double-blind review.</w:t>
            </w:r>
          </w:p>
        </w:tc>
      </w:tr>
      <w:tr w:rsidR="00BA1FFB" w:rsidRPr="00BA1FFB" w14:paraId="3C6BBD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2CE85386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Medium-High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67D8F632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Qualitative Heatmap Figure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0969D70D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  <w:t>Add a figure displaying input images, true masks, and visual heatmaps side by side.</w:t>
            </w:r>
          </w:p>
        </w:tc>
      </w:tr>
      <w:tr w:rsidR="00BA1FFB" w:rsidRPr="00BA1FFB" w14:paraId="63B971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0C3E9A72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58B7BB0A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Unified Attribution Baseline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1B8F4E3E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  <w:t>Run RISE or Integrated Gradients on both models to eliminate the method-confounding critique.</w:t>
            </w:r>
          </w:p>
        </w:tc>
      </w:tr>
      <w:tr w:rsidR="00BA1FFB" w:rsidRPr="00BA1FFB" w14:paraId="5C3B08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5C4AA275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36474D94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b/>
                <w:bCs/>
                <w:color w:val="1F1F1F"/>
                <w:kern w:val="0"/>
                <w:sz w:val="18"/>
                <w:szCs w:val="18"/>
                <w:bdr w:val="single" w:sz="2" w:space="0" w:color="E5E5E5" w:frame="1"/>
                <w14:ligatures w14:val="none"/>
              </w:rPr>
              <w:t>Multi-Seed Validation</w:t>
            </w:r>
          </w:p>
        </w:tc>
        <w:tc>
          <w:tcPr>
            <w:tcW w:w="0" w:type="auto"/>
            <w:tcBorders>
              <w:top w:val="single" w:sz="2" w:space="0" w:color="D5D5D5"/>
              <w:left w:val="single" w:sz="2" w:space="0" w:color="D5D5D5"/>
              <w:bottom w:val="single" w:sz="6" w:space="0" w:color="D5D5D5"/>
              <w:right w:val="single" w:sz="6" w:space="0" w:color="D5D5D5"/>
            </w:tcBorders>
            <w:shd w:val="clear" w:color="auto" w:fill="FFFFFF"/>
            <w:vAlign w:val="center"/>
            <w:hideMark/>
          </w:tcPr>
          <w:p w14:paraId="6877EFE5" w14:textId="77777777" w:rsidR="00BA1FFB" w:rsidRPr="00BA1FFB" w:rsidRDefault="00BA1FFB" w:rsidP="00BA1FFB">
            <w:pPr>
              <w:spacing w:after="0" w:line="240" w:lineRule="auto"/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</w:pPr>
            <w:r w:rsidRPr="00BA1FFB">
              <w:rPr>
                <w:rFonts w:ascii="inherit" w:eastAsia="Times New Roman" w:hAnsi="inherit" w:cs="Times New Roman"/>
                <w:color w:val="1F1F1F"/>
                <w:kern w:val="0"/>
                <w:sz w:val="18"/>
                <w:szCs w:val="18"/>
                <w14:ligatures w14:val="none"/>
              </w:rPr>
              <w:t>Run 2–3 additional seeds to add error margins (mean ± std) to core evaluation tables.</w:t>
            </w:r>
          </w:p>
        </w:tc>
      </w:tr>
    </w:tbl>
    <w:p w14:paraId="60CB8EB1" w14:textId="0EF45EF4" w:rsidR="009C5448" w:rsidRDefault="009C5448" w:rsidP="009C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D7EA8" w14:textId="77777777" w:rsidR="009C5448" w:rsidRDefault="009C5448" w:rsidP="009C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FFD6A" w14:textId="77777777" w:rsidR="009C5448" w:rsidRDefault="009C5448" w:rsidP="009C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37A60" w14:textId="77777777" w:rsidR="009C5448" w:rsidRDefault="009C5448" w:rsidP="009C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D2A07" w14:textId="77777777" w:rsidR="009C5448" w:rsidRDefault="009C5448" w:rsidP="009C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5F689" w14:textId="77777777" w:rsidR="009C5448" w:rsidRPr="00BA1FFB" w:rsidRDefault="009C5448" w:rsidP="009C54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0AE22C" w14:textId="77777777" w:rsidR="00BA1FFB" w:rsidRDefault="00BA1FFB"/>
    <w:sectPr w:rsidR="00BA1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F655D1"/>
    <w:multiLevelType w:val="multilevel"/>
    <w:tmpl w:val="E0F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BA254F"/>
    <w:multiLevelType w:val="multilevel"/>
    <w:tmpl w:val="1A6E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3090D"/>
    <w:multiLevelType w:val="multilevel"/>
    <w:tmpl w:val="EED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4B5320"/>
    <w:multiLevelType w:val="multilevel"/>
    <w:tmpl w:val="899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781E00"/>
    <w:multiLevelType w:val="multilevel"/>
    <w:tmpl w:val="3B0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D2032B"/>
    <w:multiLevelType w:val="multilevel"/>
    <w:tmpl w:val="8CD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570FBB"/>
    <w:multiLevelType w:val="multilevel"/>
    <w:tmpl w:val="EDCE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4925222">
    <w:abstractNumId w:val="6"/>
  </w:num>
  <w:num w:numId="2" w16cid:durableId="158883874">
    <w:abstractNumId w:val="3"/>
  </w:num>
  <w:num w:numId="3" w16cid:durableId="477453272">
    <w:abstractNumId w:val="4"/>
  </w:num>
  <w:num w:numId="4" w16cid:durableId="565186675">
    <w:abstractNumId w:val="1"/>
  </w:num>
  <w:num w:numId="5" w16cid:durableId="1357929782">
    <w:abstractNumId w:val="5"/>
  </w:num>
  <w:num w:numId="6" w16cid:durableId="564728953">
    <w:abstractNumId w:val="2"/>
  </w:num>
  <w:num w:numId="7" w16cid:durableId="19678063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FB"/>
    <w:rsid w:val="000A7580"/>
    <w:rsid w:val="00482791"/>
    <w:rsid w:val="004B13B7"/>
    <w:rsid w:val="007B497A"/>
    <w:rsid w:val="009C5448"/>
    <w:rsid w:val="00BA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4075636"/>
  <w15:chartTrackingRefBased/>
  <w15:docId w15:val="{642354A4-3846-7542-8129-7362F3AA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FFB"/>
    <w:rPr>
      <w:b/>
      <w:bCs/>
      <w:smallCaps/>
      <w:color w:val="0F4761" w:themeColor="accent1" w:themeShade="BF"/>
      <w:spacing w:val="5"/>
    </w:rPr>
  </w:style>
  <w:style w:type="paragraph" w:customStyle="1" w:styleId="mb-4">
    <w:name w:val="mb-4"/>
    <w:basedOn w:val="Normal"/>
    <w:rsid w:val="00BA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normal">
    <w:name w:val="font-normal"/>
    <w:basedOn w:val="Normal"/>
    <w:rsid w:val="00BA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1FFB"/>
    <w:rPr>
      <w:b/>
      <w:bCs/>
    </w:rPr>
  </w:style>
  <w:style w:type="paragraph" w:customStyle="1" w:styleId="leading-relaxed">
    <w:name w:val="leading-relaxed"/>
    <w:basedOn w:val="Normal"/>
    <w:rsid w:val="00BA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A1FF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1FF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1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review.net/group?id=thecvf.com/WACV/2027/Workshop/FABR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Bahrami, Somayeh</dc:creator>
  <cp:keywords/>
  <dc:description/>
  <cp:lastModifiedBy>Bahrami, Somayeh</cp:lastModifiedBy>
  <cp:revision>2</cp:revision>
  <dcterms:created xsi:type="dcterms:W3CDTF">2026-09-21T19:56:00Z</dcterms:created>
  <dcterms:modified xsi:type="dcterms:W3CDTF">2026-09-23T17:51:00Z</dcterms:modified>
</cp:coreProperties>
</file>