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9488"/>
          <w:sz w:val="40"/>
        </w:rPr>
        <w:br/>
        <w:br/>
        <w:br/>
        <w:t>AgriShield: A Hybrid CNN-QML Variational Quantum Classifier for Agricultural Plant Disease Diagnostics and Atmospheric Outbreak Modeling</w:t>
        <w:br/>
      </w:r>
    </w:p>
    <w:p>
      <w:pPr>
        <w:jc w:val="center"/>
      </w:pPr>
      <w:r>
        <w:rPr>
          <w:i/>
          <w:color w:val="64748B"/>
          <w:sz w:val="28"/>
        </w:rPr>
        <w:t>B.Tech Final Year Project Report</w:t>
        <w:br/>
        <w:br/>
        <w:br/>
        <w:br/>
        <w:br/>
        <w:br/>
        <w:br/>
      </w:r>
    </w:p>
    <w:p>
      <w:pPr>
        <w:jc w:val="center"/>
      </w:pPr>
      <w:r>
        <w:rPr>
          <w:sz w:val="22"/>
        </w:rPr>
        <w:t>Submitted in partial fulfillment of the requirements</w:t>
        <w:br/>
        <w:t>for the Degree of Bachelor of Technology</w:t>
        <w:br/>
        <w:t>in Computer Science &amp; Engineering</w:t>
        <w:br/>
        <w:br/>
        <w:br/>
        <w:br/>
      </w:r>
    </w:p>
    <w:p>
      <w:r>
        <w:br w:type="page"/>
      </w:r>
    </w:p>
    <w:p>
      <w:pPr>
        <w:pStyle w:val="Heading1"/>
        <w:spacing w:before="240" w:after="120"/>
      </w:pPr>
      <w:r>
        <w:rPr>
          <w:rFonts w:ascii="Arial" w:hAnsi="Arial"/>
          <w:b/>
          <w:color w:val="0D9488"/>
          <w:sz w:val="32"/>
        </w:rPr>
        <w:t>PROJECT REPORT</w:t>
      </w:r>
    </w:p>
    <w:p>
      <w:pPr>
        <w:pStyle w:val="Heading1"/>
        <w:spacing w:before="240" w:after="120"/>
      </w:pPr>
      <w:r>
        <w:rPr>
          <w:rFonts w:ascii="Arial" w:hAnsi="Arial"/>
          <w:b/>
          <w:color w:val="0D9488"/>
          <w:sz w:val="32"/>
        </w:rPr>
        <w:t>AgriShield: A Hybrid CNN-QML Variational Quantum Classifier for Agricultural Plant Disease Diagnostics and Atmospheric Outbreak Modeling</w:t>
      </w:r>
    </w:p>
    <w:p>
      <w:pPr>
        <w:spacing w:after="160"/>
      </w:pPr>
      <w:r>
        <w:t>---</w:t>
      </w:r>
    </w:p>
    <w:p>
      <w:pPr>
        <w:pStyle w:val="Heading1"/>
        <w:spacing w:before="240" w:after="120"/>
      </w:pPr>
      <w:r>
        <w:rPr>
          <w:rFonts w:ascii="Arial" w:hAnsi="Arial"/>
          <w:b/>
          <w:color w:val="0D9488"/>
          <w:sz w:val="32"/>
        </w:rPr>
        <w:t>Table of Contents</w:t>
      </w:r>
    </w:p>
    <w:p>
      <w:pPr>
        <w:pStyle w:val="ListNumber"/>
      </w:pPr>
      <w:r>
        <w:t>[Abstract / Aim](#1-abstract--aim)</w:t>
      </w:r>
    </w:p>
    <w:p>
      <w:pPr>
        <w:pStyle w:val="ListNumber"/>
      </w:pPr>
      <w:r>
        <w:t>[Introduction](#2-introduction)</w:t>
      </w:r>
    </w:p>
    <w:p>
      <w:pPr>
        <w:pStyle w:val="ListNumber"/>
      </w:pPr>
      <w:r>
        <w:t>[Review Work](#3-review-work)</w:t>
      </w:r>
    </w:p>
    <w:p>
      <w:pPr>
        <w:pStyle w:val="Heading1"/>
        <w:spacing w:before="240" w:after="120"/>
      </w:pPr>
      <w:r>
        <w:rPr>
          <w:rFonts w:ascii="Arial" w:hAnsi="Arial"/>
          <w:b/>
          <w:color w:val="0D9488"/>
          <w:sz w:val="32"/>
        </w:rPr>
        <w:t>4. Proposed Scheme</w:t>
      </w:r>
    </w:p>
    <w:p>
      <w:r>
        <w:drawing>
          <wp:inline xmlns:a="http://schemas.openxmlformats.org/drawingml/2006/main" xmlns:pic="http://schemas.openxmlformats.org/drawingml/2006/picture">
            <wp:extent cx="5486400" cy="2862470"/>
            <wp:docPr id="1" name="Picture 1"/>
            <wp:cNvGraphicFramePr>
              <a:graphicFrameLocks noChangeAspect="1"/>
            </wp:cNvGraphicFramePr>
            <a:graphic>
              <a:graphicData uri="http://schemas.openxmlformats.org/drawingml/2006/picture">
                <pic:pic>
                  <pic:nvPicPr>
                    <pic:cNvPr id="0" name="agrishield_workflow.png"/>
                    <pic:cNvPicPr/>
                  </pic:nvPicPr>
                  <pic:blipFill>
                    <a:blip r:embed="rId9"/>
                    <a:stretch>
                      <a:fillRect/>
                    </a:stretch>
                  </pic:blipFill>
                  <pic:spPr>
                    <a:xfrm>
                      <a:off x="0" y="0"/>
                      <a:ext cx="5486400" cy="2862470"/>
                    </a:xfrm>
                    <a:prstGeom prst="rect"/>
                  </pic:spPr>
                </pic:pic>
              </a:graphicData>
            </a:graphic>
          </wp:inline>
        </w:drawing>
      </w:r>
    </w:p>
    <w:p>
      <w:pPr>
        <w:jc w:val="center"/>
      </w:pPr>
      <w:r>
        <w:rPr>
          <w:i/>
          <w:color w:val="64748B"/>
          <w:sz w:val="19"/>
        </w:rPr>
        <w:t>Figure 4.1: AgriShield Hybrid CNN-QML &amp; Agro-Weather System Process Workflow</w:t>
      </w:r>
    </w:p>
    <w:p>
      <w:pPr>
        <w:spacing w:after="160"/>
      </w:pPr>
      <w:r>
        <w:t>5. [Result](#5-result)</w:t>
      </w:r>
    </w:p>
    <w:p>
      <w:pPr>
        <w:spacing w:after="160"/>
      </w:pPr>
      <w:r>
        <w:t>6. [Conclusion](#6-conclusion)</w:t>
      </w:r>
    </w:p>
    <w:p>
      <w:pPr>
        <w:spacing w:after="160"/>
      </w:pPr>
      <w:r>
        <w:t>7. [Future Work](#7-future-work)</w:t>
      </w:r>
    </w:p>
    <w:p>
      <w:pPr>
        <w:spacing w:after="160"/>
      </w:pPr>
      <w:r>
        <w:t>8. [Reference](#8-reference)</w:t>
      </w:r>
    </w:p>
    <w:p>
      <w:pPr>
        <w:spacing w:after="160"/>
      </w:pPr>
      <w:r>
        <w:t>---</w:t>
      </w:r>
    </w:p>
    <w:p>
      <w:pPr>
        <w:pStyle w:val="Heading1"/>
        <w:spacing w:before="240" w:after="120"/>
      </w:pPr>
      <w:r>
        <w:rPr>
          <w:rFonts w:ascii="Arial" w:hAnsi="Arial"/>
          <w:b/>
          <w:color w:val="0D9488"/>
          <w:sz w:val="32"/>
        </w:rPr>
        <w:t>1. Abstract / Aim</w:t>
      </w:r>
    </w:p>
    <w:p>
      <w:pPr>
        <w:pStyle w:val="Heading2"/>
        <w:spacing w:before="240" w:after="120"/>
      </w:pPr>
      <w:r>
        <w:rPr>
          <w:rFonts w:ascii="Arial" w:hAnsi="Arial"/>
          <w:b/>
          <w:color w:val="2196F3"/>
          <w:sz w:val="26"/>
        </w:rPr>
        <w:t>Aim</w:t>
      </w:r>
    </w:p>
    <w:p>
      <w:pPr>
        <w:spacing w:after="160"/>
      </w:pPr>
      <w:r>
        <w:t xml:space="preserve">The primary aim of this project is to develop and evaluate </w:t>
      </w:r>
      <w:r>
        <w:rPr>
          <w:b/>
        </w:rPr>
        <w:t>AgriShield</w:t>
      </w:r>
      <w:r>
        <w:t>, a state-of-the-art hybrid agricultural diagnostic suite. The system merges classical Convolutional Neural Networks (CNN) with Parameterized Quantum Circuits (PQC)—often referred to as Quantum Neural Networks (QNN)—to classify plant leaf pathologies with high confidence and minimal classical parameter overhead. Additionally, the project aims to integrate a real-time atmospheric geocoding forecasting module to model localized fungal outbreak risks (blight, mildew, and rust) over a 15-day timeline and persist diagnostic telemetry in a relational database.</w:t>
      </w:r>
    </w:p>
    <w:p>
      <w:pPr>
        <w:pStyle w:val="Heading2"/>
        <w:spacing w:before="240" w:after="120"/>
      </w:pPr>
      <w:r>
        <w:rPr>
          <w:rFonts w:ascii="Arial" w:hAnsi="Arial"/>
          <w:b/>
          <w:color w:val="2196F3"/>
          <w:sz w:val="26"/>
        </w:rPr>
        <w:t>Abstract</w:t>
      </w:r>
    </w:p>
    <w:p>
      <w:pPr>
        <w:spacing w:after="160"/>
      </w:pPr>
      <w:r>
        <w:t>---</w:t>
      </w:r>
    </w:p>
    <w:p>
      <w:pPr>
        <w:pStyle w:val="Heading1"/>
        <w:spacing w:before="240" w:after="120"/>
      </w:pPr>
      <w:r>
        <w:rPr>
          <w:rFonts w:ascii="Arial" w:hAnsi="Arial"/>
          <w:b/>
          <w:color w:val="0D9488"/>
          <w:sz w:val="32"/>
        </w:rPr>
        <w:t>2. Introduction</w:t>
      </w:r>
    </w:p>
    <w:p>
      <w:pPr>
        <w:spacing w:after="160"/>
      </w:pPr>
      <w:r>
        <w:t>Agriculture remains the backbone of the global economy, yet disease-related crop losses account for billions of dollars annually. Early detection of leaf anomalies is essential, but current visual diagnostics suffer from human subjectivity, while full-scale classical CNN networks are heavy and prone to overfitting on limited target classes.</w:t>
      </w:r>
    </w:p>
    <w:p>
      <w:pPr>
        <w:pStyle w:val="Heading2"/>
        <w:spacing w:before="240" w:after="120"/>
      </w:pPr>
      <w:r>
        <w:rPr>
          <w:rFonts w:ascii="Arial" w:hAnsi="Arial"/>
          <w:b/>
          <w:color w:val="2196F3"/>
          <w:sz w:val="26"/>
        </w:rPr>
        <w:t>The Rise of Quantum Machine Learning (QML)</w:t>
      </w:r>
    </w:p>
    <w:p>
      <w:pPr>
        <w:spacing w:after="160"/>
      </w:pPr>
      <w:r>
        <w:t>Quantum computing leverages superposition, entanglement, and interference to solve complex computational problems. By combining classical feature maps with low-depth quantum circuits, QML offers:</w:t>
      </w:r>
    </w:p>
    <w:p>
      <w:pPr>
        <w:pStyle w:val="ListNumber"/>
      </w:pPr>
      <w:r>
        <w:t>**Hilbert Space Representation**: Feature encoding projects classical inputs into high-dimensional quantum states, revealing non-linear boundaries.</w:t>
      </w:r>
    </w:p>
    <w:p>
      <w:pPr>
        <w:pStyle w:val="ListNumber"/>
      </w:pPr>
      <w:r>
        <w:t>**Parameter Efficiency**: PQCs achieve comparable or superior performance to classical fully connected layers using a fraction of the parameter count.</w:t>
      </w:r>
    </w:p>
    <w:p>
      <w:pPr>
        <w:pStyle w:val="Heading2"/>
        <w:spacing w:before="240" w:after="120"/>
      </w:pPr>
      <w:r>
        <w:rPr>
          <w:rFonts w:ascii="Arial" w:hAnsi="Arial"/>
          <w:b/>
          <w:color w:val="2196F3"/>
          <w:sz w:val="26"/>
        </w:rPr>
        <w:t>AgriShield Integrated Suite</w:t>
      </w:r>
    </w:p>
    <w:p>
      <w:pPr>
        <w:spacing w:after="160"/>
      </w:pPr>
      <w:r>
        <w:t>AgriShield implements a multi-tier solution:</w:t>
      </w:r>
    </w:p>
    <w:p>
      <w:pPr>
        <w:pStyle w:val="ListBullet"/>
      </w:pPr>
      <w:r>
        <w:t>**Specimen Gating**: Rejects non-plant uploads (faces, text, furniture) using latent feature similarity.</w:t>
      </w:r>
    </w:p>
    <w:p>
      <w:pPr>
        <w:pStyle w:val="ListBullet"/>
      </w:pPr>
      <w:r>
        <w:t>**Hybrid Diagnostic Core**: Couples ResNet18 and a 4-qubit PennyLane TorchLayer.</w:t>
      </w:r>
    </w:p>
    <w:p>
      <w:pPr>
        <w:pStyle w:val="ListBullet"/>
      </w:pPr>
      <w:r>
        <w:t>**Agro-Weather Engine**: Dynamically calculates risk indices for blight, mildew, and rust based on relative humidity, temperature, and precipitation.</w:t>
      </w:r>
    </w:p>
    <w:p>
      <w:pPr>
        <w:pStyle w:val="ListBullet"/>
      </w:pPr>
      <w:r>
        <w:t>**Relational Telemetry**: Logs diagnostics securely in local MySQL schema.</w:t>
      </w:r>
    </w:p>
    <w:p>
      <w:pPr>
        <w:spacing w:after="160"/>
      </w:pPr>
      <w:r>
        <w:t>---</w:t>
      </w:r>
    </w:p>
    <w:p>
      <w:pPr>
        <w:pStyle w:val="Heading1"/>
        <w:spacing w:before="240" w:after="120"/>
      </w:pPr>
      <w:r>
        <w:rPr>
          <w:rFonts w:ascii="Arial" w:hAnsi="Arial"/>
          <w:b/>
          <w:color w:val="0D9488"/>
          <w:sz w:val="32"/>
        </w:rPr>
        <w:t>3. Review Work</w:t>
      </w:r>
    </w:p>
    <w:p>
      <w:pPr>
        <w:spacing w:after="160"/>
      </w:pPr>
      <w:r>
        <w:t>Recent research shows a bifurcation between classical deep learning models and emerging quantum extensions:</w:t>
      </w:r>
    </w:p>
    <w:p>
      <w:pPr>
        <w:pStyle w:val="Heading2"/>
        <w:spacing w:before="240" w:after="120"/>
      </w:pPr>
      <w:r>
        <w:rPr>
          <w:rFonts w:ascii="Arial" w:hAnsi="Arial"/>
          <w:b/>
          <w:color w:val="2196F3"/>
          <w:sz w:val="26"/>
        </w:rPr>
        <w:t>Classical Plant Diagnostics</w:t>
      </w:r>
    </w:p>
    <w:p>
      <w:pPr>
        <w:pStyle w:val="ListBullet"/>
      </w:pPr>
      <w:r>
        <w:t>**Convolutional Networks**: Architectures like ResNet50, MobileNetV2, and VGG16 have been widely applied to the *PlantVillage* dataset. While MobileNet minimizes parameter counts for edge deployment, it compromises accuracy under noisy lighting.</w:t>
      </w:r>
    </w:p>
    <w:p>
      <w:pPr>
        <w:pStyle w:val="ListBullet"/>
      </w:pPr>
      <w:r>
        <w:t>**Limitations**: Deep neural networks operate as black boxes, require vast dataset representations, and lack physical modeling indicators.</w:t>
      </w:r>
    </w:p>
    <w:p>
      <w:pPr>
        <w:pStyle w:val="Heading2"/>
        <w:spacing w:before="240" w:after="120"/>
      </w:pPr>
      <w:r>
        <w:rPr>
          <w:rFonts w:ascii="Arial" w:hAnsi="Arial"/>
          <w:b/>
          <w:color w:val="2196F3"/>
          <w:sz w:val="26"/>
        </w:rPr>
        <w:t>Quantum-Classical Hybrids (QML)</w:t>
      </w:r>
    </w:p>
    <w:p>
      <w:pPr>
        <w:pStyle w:val="ListBullet"/>
      </w:pPr>
      <w:r>
        <w:t>**Feature Maps**: Perez-Salinas et al. (2020) demonstrated data re-uploading paradigms where classical data is repeatedly injected into rotation gates.</w:t>
      </w:r>
    </w:p>
    <w:p>
      <w:pPr>
        <w:pStyle w:val="ListBullet"/>
      </w:pPr>
      <w:r>
        <w:t>**Variational Classifiers**: Parameterized circuits act as effective variational layers. Coupling a ResNet feature extractor to a PQC provides structural expressiveness, letting quantum layers learn relationships between feature channels.</w:t>
      </w:r>
    </w:p>
    <w:p>
      <w:pPr>
        <w:pStyle w:val="Heading2"/>
        <w:spacing w:before="240" w:after="120"/>
      </w:pPr>
      <w:r>
        <w:rPr>
          <w:rFonts w:ascii="Arial" w:hAnsi="Arial"/>
          <w:b/>
          <w:color w:val="2196F3"/>
          <w:sz w:val="26"/>
        </w:rPr>
        <w:t>Atmospheric Plant Pathogenesis</w:t>
      </w:r>
    </w:p>
    <w:p>
      <w:pPr>
        <w:pStyle w:val="ListBullet"/>
      </w:pPr>
      <w:r>
        <w:t>**Fungal Lifecycle Requirements**: Studies in plant pathology confirm that fungal pathogens (e.g., *Phytophthora infestans*, *Puccinia*) thrive under sustained relative humidity ($&gt;78\%$) and warm incubation temperature ranges ($14^\circ\text{C}$ to $27^\circ\text{C}$). Integrating these atmospheric boundaries with neural classifications bridges the gap between passive diagnosis and active prevention.</w:t>
      </w:r>
    </w:p>
    <w:p>
      <w:pPr>
        <w:spacing w:after="160"/>
      </w:pPr>
      <w:r>
        <w:t>---</w:t>
      </w:r>
    </w:p>
    <w:p>
      <w:pPr>
        <w:pStyle w:val="Heading1"/>
        <w:spacing w:before="240" w:after="120"/>
      </w:pPr>
      <w:r>
        <w:rPr>
          <w:rFonts w:ascii="Arial" w:hAnsi="Arial"/>
          <w:b/>
          <w:color w:val="0D9488"/>
          <w:sz w:val="32"/>
        </w:rPr>
        <w:t>4. Proposed Scheme</w:t>
      </w:r>
    </w:p>
    <w:p>
      <w:pPr>
        <w:spacing w:after="160"/>
      </w:pPr>
      <w:r>
        <w:t>The AgriShield system architecture is divided into three processing modules: Specimen Gating, Hybrid Inference, and Agro-Weather Analysis.</w:t>
      </w:r>
    </w:p>
    <w:p>
      <w:pPr>
        <w:spacing w:after="160"/>
      </w:pPr>
      <w:r>
        <w:t>A[Leaf Image Upload] --&gt; B{Gatekeeper Check}</w:t>
      </w:r>
    </w:p>
    <w:p>
      <w:pPr>
        <w:spacing w:after="160"/>
      </w:pPr>
      <w:r>
        <w:t>E --&gt; F[Pauli-Z Measurements]</w:t>
      </w:r>
    </w:p>
    <w:p>
      <w:pPr>
        <w:spacing w:after="160"/>
      </w:pPr>
      <w:r>
        <w:t>F --&gt; G[Classification Result]</w:t>
      </w:r>
    </w:p>
    <w:p>
      <w:pPr>
        <w:spacing w:after="160"/>
      </w:pPr>
      <w:r>
        <w:t>G --&gt; H[MySQL Log &amp; JSON Mirror]</w:t>
      </w:r>
    </w:p>
    <w:p>
      <w:pPr>
        <w:spacing w:after="160"/>
      </w:pPr>
      <w:r>
        <w:t>J --&gt; K[15-Day Outbreak Timeline]</w:t>
      </w:r>
    </w:p>
    <w:p>
      <w:pPr>
        <w:pStyle w:val="Heading2"/>
        <w:spacing w:before="240" w:after="120"/>
      </w:pPr>
      <w:r>
        <w:rPr>
          <w:rFonts w:ascii="Arial" w:hAnsi="Arial"/>
          <w:b/>
          <w:color w:val="2196F3"/>
          <w:sz w:val="26"/>
        </w:rPr>
        <w:t>4.1 Specimen Gating (Gatekeeper Model)</w:t>
      </w:r>
    </w:p>
    <w:p>
      <w:pPr>
        <w:spacing w:after="160"/>
      </w:pPr>
      <w:r>
        <w:t>To prevent processing invalid uploads, a gatekeeper system extracts features of the uploaded image using a pre-trained ResNet18. The cosine similarity is calculated between the image feature vector $f_{img}$ and a reference leaf template vector $T_{leaf}$ (average vector of validation leaf images):</w:t>
      </w:r>
    </w:p>
    <w:p>
      <w:pPr>
        <w:spacing w:after="160"/>
      </w:pPr>
      <w:r>
        <w:t>$$\text{Similarity} = \frac{f_{img} \cdot T_{leaf}}{\|f_{img}\| \|T_{leaf}\|}$$</w:t>
      </w:r>
    </w:p>
    <w:p>
      <w:pPr>
        <w:spacing w:after="160"/>
      </w:pPr>
      <w:r>
        <w:t xml:space="preserve">The gatekeeper enforces a threshold of </w:t>
      </w:r>
      <w:r>
        <w:rPr>
          <w:b/>
        </w:rPr>
        <w:t>`0.65`</w:t>
      </w:r>
      <w:r>
        <w:t xml:space="preserve">. Any upload falling below </w:t>
      </w:r>
      <w:r>
        <w:rPr>
          <w:rFonts w:ascii="Consolas" w:hAnsi="Consolas"/>
          <w:color w:val="E11D48"/>
        </w:rPr>
        <w:t>0.65</w:t>
      </w:r>
      <w:r>
        <w:t xml:space="preserve"> triggers a frontend warning card and halts diagnostic execution.</w:t>
      </w:r>
    </w:p>
    <w:p>
      <w:pPr>
        <w:pStyle w:val="Heading2"/>
        <w:spacing w:before="240" w:after="120"/>
      </w:pPr>
      <w:r>
        <w:rPr>
          <w:rFonts w:ascii="Arial" w:hAnsi="Arial"/>
          <w:b/>
          <w:color w:val="2196F3"/>
          <w:sz w:val="26"/>
        </w:rPr>
        <w:t>4.2 Hybrid CNN-QML Diagnostic Classifier</w:t>
      </w:r>
    </w:p>
    <w:p>
      <w:pPr>
        <w:spacing w:after="160"/>
      </w:pPr>
      <w:r>
        <w:t>The core classification pipeline combines classical layers with a simulated quantum circuit:</w:t>
      </w:r>
    </w:p>
    <w:p>
      <w:pPr>
        <w:pStyle w:val="ListNumber"/>
      </w:pPr>
      <w:r>
        <w:t>**ResNet18 Backbone**: Images are resized to $224 \times 224 \times 3$ and normalized. The classifier extracts a 512-dimensional classical feature vector from the final average pooling layer.</w:t>
      </w:r>
    </w:p>
    <w:p>
      <w:pPr>
        <w:pStyle w:val="ListNumber"/>
      </w:pPr>
      <w:r>
        <w:t>**Linear Mapping**: The vector is projected onto a 4-dimensional space representing rotation angles $(\theta_0, \theta_1, \theta_2, \theta_3)$ for the quantum circuit.</w:t>
      </w:r>
    </w:p>
    <w:p>
      <w:pPr>
        <w:pStyle w:val="ListBullet"/>
      </w:pPr>
      <w:r>
        <w:t>**State Preparation**: Prepares 4 qubits in the ground state $|0000\rangle$ and applies $RY(\theta_i)$ rotation gates to encode the features.</w:t>
      </w:r>
    </w:p>
    <w:p>
      <w:pPr>
        <w:pStyle w:val="ListBullet"/>
      </w:pPr>
      <w:r>
        <w:t>**Entanglement Layer**: Alternating CNOT gates link adjacent qubits to construct an entangling channel.</w:t>
      </w:r>
    </w:p>
    <w:p>
      <w:pPr>
        <w:pStyle w:val="ListBullet"/>
      </w:pPr>
      <w:r>
        <w:t>**Variational Rotations**: Parameterized $RY(\phi_i)$ gates modify qubit amplitudes.</w:t>
      </w:r>
    </w:p>
    <w:p>
      <w:pPr>
        <w:pStyle w:val="ListBullet"/>
      </w:pPr>
      <w:r>
        <w:t>**Measurement**: Expectation values $\langle Z_i \rangle$ are measured on Pauli-Z operators for each qubit.</w:t>
      </w:r>
    </w:p>
    <w:p>
      <w:pPr>
        <w:spacing w:after="160"/>
      </w:pPr>
      <w:r>
        <w:t xml:space="preserve">4. </w:t>
      </w:r>
      <w:r>
        <w:rPr>
          <w:b/>
        </w:rPr>
        <w:t>Output Classification</w:t>
      </w:r>
      <w:r>
        <w:t>: The expectation values are mapped through a softmax function to determine classification probabilities.</w:t>
      </w:r>
    </w:p>
    <w:p>
      <w:pPr>
        <w:pStyle w:val="Heading2"/>
        <w:spacing w:before="240" w:after="120"/>
      </w:pPr>
      <w:r>
        <w:rPr>
          <w:rFonts w:ascii="Arial" w:hAnsi="Arial"/>
          <w:b/>
          <w:color w:val="2196F3"/>
          <w:sz w:val="26"/>
        </w:rPr>
        <w:t>4.3 Database Telemetry</w:t>
      </w:r>
    </w:p>
    <w:p>
      <w:pPr>
        <w:spacing w:after="160"/>
      </w:pPr>
      <w:r>
        <w:t xml:space="preserve">Diagnostics records are written to a local </w:t>
      </w:r>
      <w:r>
        <w:rPr>
          <w:b/>
        </w:rPr>
        <w:t>MySQL</w:t>
      </w:r>
      <w:r>
        <w:t xml:space="preserve"> schema (</w:t>
      </w:r>
      <w:r>
        <w:rPr>
          <w:rFonts w:ascii="Consolas" w:hAnsi="Consolas"/>
          <w:color w:val="E11D48"/>
        </w:rPr>
        <w:t>plant_disease_db</w:t>
      </w:r>
      <w:r>
        <w:t>). The table is defined as:</w:t>
      </w:r>
    </w:p>
    <w:p>
      <w:pPr>
        <w:spacing w:after="160"/>
      </w:pPr>
      <w:r>
        <w:t>CREATE TABLE IF NOT EXISTS diagnostics_history (</w:t>
      </w:r>
    </w:p>
    <w:p>
      <w:pPr>
        <w:spacing w:after="160"/>
      </w:pPr>
      <w:r>
        <w:t>id BIGINT PRIMARY KEY,</w:t>
      </w:r>
    </w:p>
    <w:p>
      <w:pPr>
        <w:spacing w:after="160"/>
      </w:pPr>
      <w:r>
        <w:t>condition_name VARCHAR(255) NOT NULL,</w:t>
      </w:r>
    </w:p>
    <w:p>
      <w:pPr>
        <w:spacing w:after="160"/>
      </w:pPr>
      <w:r>
        <w:t>confidence DOUBLE NOT NULL,</w:t>
      </w:r>
    </w:p>
    <w:p>
      <w:pPr>
        <w:spacing w:after="160"/>
      </w:pPr>
      <w:r>
        <w:t>timestamp VARCHAR(255) NOT NULL,</w:t>
      </w:r>
    </w:p>
    <w:p>
      <w:pPr>
        <w:spacing w:after="160"/>
      </w:pPr>
      <w:r>
        <w:t>quantum_states VARCHAR(512) NOT NULL,</w:t>
      </w:r>
    </w:p>
    <w:p>
      <w:pPr>
        <w:spacing w:after="160"/>
      </w:pPr>
      <w:r>
        <w:t>image_url VARCHAR(512) NOT NULL</w:t>
      </w:r>
    </w:p>
    <w:p>
      <w:pPr>
        <w:spacing w:after="160"/>
      </w:pPr>
      <w:r>
        <w:t>);</w:t>
      </w:r>
    </w:p>
    <w:p>
      <w:pPr>
        <w:spacing w:after="160"/>
      </w:pPr>
      <w:r>
        <w:t>A dual-write mirror system also saves a copy in a local JSON file (</w:t>
      </w:r>
      <w:r>
        <w:rPr>
          <w:rFonts w:ascii="Consolas" w:hAnsi="Consolas"/>
          <w:color w:val="E11D48"/>
        </w:rPr>
        <w:t>diagnostics_history.json</w:t>
      </w:r>
      <w:r>
        <w:t>). If the MySQL server fails to connect, the system automatically falls back to the JSON file to keep the app operational.</w:t>
      </w:r>
    </w:p>
    <w:p>
      <w:pPr>
        <w:pStyle w:val="Heading2"/>
        <w:spacing w:before="240" w:after="120"/>
      </w:pPr>
      <w:r>
        <w:rPr>
          <w:rFonts w:ascii="Arial" w:hAnsi="Arial"/>
          <w:b/>
          <w:color w:val="2196F3"/>
          <w:sz w:val="26"/>
        </w:rPr>
        <w:t>4.4 Agro-Weather Outbreak Risk Engine</w:t>
      </w:r>
    </w:p>
    <w:p>
      <w:pPr>
        <w:pStyle w:val="ListBullet"/>
      </w:pPr>
      <w:r>
        <w:t>**Incubation Temperature**: $T_{min} \ge 14^\circ\text{C}$ and $T_{max} \le 27^\circ\text{C}$.</w:t>
      </w:r>
    </w:p>
    <w:p>
      <w:pPr>
        <w:pStyle w:val="ListBullet"/>
      </w:pPr>
      <w:r>
        <w:t>**High Humidity**: Max relative humidity $\ge 78\%$.</w:t>
      </w:r>
    </w:p>
    <w:p>
      <w:pPr>
        <w:pStyle w:val="ListBullet"/>
      </w:pPr>
      <w:r>
        <w:t>**Precipitation**: Daily rain accumulation $\ge 1.5\text{mm}$.</w:t>
      </w:r>
    </w:p>
    <w:p>
      <w:pPr>
        <w:spacing w:after="160"/>
      </w:pPr>
      <w:r>
        <w:t>The daily risk index is classified as:</w:t>
      </w:r>
    </w:p>
    <w:p>
      <w:pPr>
        <w:pStyle w:val="ListBullet"/>
      </w:pPr>
      <w:r>
        <w:t>**HIGH**: All three conditions are met.</w:t>
      </w:r>
    </w:p>
    <w:p>
      <w:pPr>
        <w:pStyle w:val="ListBullet"/>
      </w:pPr>
      <w:r>
        <w:t>**MODERATE**: Two conditions are met.</w:t>
      </w:r>
    </w:p>
    <w:p>
      <w:pPr>
        <w:pStyle w:val="ListBullet"/>
      </w:pPr>
      <w:r>
        <w:t>**LOW**: One or zero conditions are met.</w:t>
      </w:r>
    </w:p>
    <w:p>
      <w:pPr>
        <w:spacing w:after="160"/>
      </w:pPr>
      <w:r>
        <w:t>---</w:t>
      </w:r>
    </w:p>
    <w:p>
      <w:pPr>
        <w:pStyle w:val="Heading1"/>
        <w:spacing w:before="240" w:after="120"/>
      </w:pPr>
      <w:r>
        <w:rPr>
          <w:rFonts w:ascii="Arial" w:hAnsi="Arial"/>
          <w:b/>
          <w:color w:val="0D9488"/>
          <w:sz w:val="32"/>
        </w:rPr>
        <w:t>5. Result</w:t>
      </w:r>
    </w:p>
    <w:p>
      <w:pPr>
        <w:pStyle w:val="Heading2"/>
        <w:spacing w:before="240" w:after="120"/>
      </w:pPr>
      <w:r>
        <w:rPr>
          <w:rFonts w:ascii="Arial" w:hAnsi="Arial"/>
          <w:b/>
          <w:color w:val="2196F3"/>
          <w:sz w:val="26"/>
        </w:rPr>
        <w:t>Model Performance Metrics</w:t>
      </w:r>
    </w:p>
    <w:p>
      <w:pPr>
        <w:spacing w:after="160"/>
      </w:pPr>
      <w:r>
        <w:t>The hybrid CNN-QML model was trained and evaluated on crop leaf specimens (covering apple, grape, tomato, and potato classes).</w:t>
      </w:r>
    </w:p>
    <w:tbl>
      <w:tblPr>
        <w:tblStyle w:val="LightShading-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**Validation Accuracy**</w:t>
            </w:r>
          </w:p>
        </w:tc>
        <w:tc>
          <w:tcPr>
            <w:tcW w:type="dxa" w:w="4680"/>
          </w:tcPr>
          <w:p>
            <w:r>
              <w:t>98.24%</w:t>
            </w:r>
          </w:p>
        </w:tc>
      </w:tr>
      <w:tr>
        <w:tc>
          <w:tcPr>
            <w:tcW w:type="dxa" w:w="4680"/>
          </w:tcPr>
          <w:p>
            <w:r>
              <w:t>**Training Epochs**</w:t>
            </w:r>
          </w:p>
        </w:tc>
        <w:tc>
          <w:tcPr>
            <w:tcW w:type="dxa" w:w="4680"/>
          </w:tcPr>
          <w:p>
            <w:r>
              <w:t>6</w:t>
            </w:r>
          </w:p>
        </w:tc>
      </w:tr>
      <w:tr>
        <w:tc>
          <w:tcPr>
            <w:tcW w:type="dxa" w:w="4680"/>
          </w:tcPr>
          <w:p>
            <w:r>
              <w:t>**Cross-Entropy Loss**</w:t>
            </w:r>
          </w:p>
        </w:tc>
        <w:tc>
          <w:tcPr>
            <w:tcW w:type="dxa" w:w="4680"/>
          </w:tcPr>
          <w:p>
            <w:r>
              <w:t>0.052</w:t>
            </w:r>
          </w:p>
        </w:tc>
      </w:tr>
      <w:tr>
        <w:tc>
          <w:tcPr>
            <w:tcW w:type="dxa" w:w="4680"/>
          </w:tcPr>
          <w:p>
            <w:r>
              <w:t>**Precision**</w:t>
            </w:r>
          </w:p>
        </w:tc>
        <w:tc>
          <w:tcPr>
            <w:tcW w:type="dxa" w:w="4680"/>
          </w:tcPr>
          <w:p>
            <w:r>
              <w:t>98.2%</w:t>
            </w:r>
          </w:p>
        </w:tc>
      </w:tr>
      <w:tr>
        <w:tc>
          <w:tcPr>
            <w:tcW w:type="dxa" w:w="4680"/>
          </w:tcPr>
          <w:p>
            <w:r>
              <w:t>**Recall**</w:t>
            </w:r>
          </w:p>
        </w:tc>
        <w:tc>
          <w:tcPr>
            <w:tcW w:type="dxa" w:w="4680"/>
          </w:tcPr>
          <w:p>
            <w:r>
              <w:t>98.1%</w:t>
            </w:r>
          </w:p>
        </w:tc>
      </w:tr>
    </w:tbl>
    <w:p/>
    <w:p>
      <w:pPr>
        <w:pStyle w:val="Heading2"/>
        <w:spacing w:before="240" w:after="120"/>
      </w:pPr>
      <w:r>
        <w:rPr>
          <w:rFonts w:ascii="Arial" w:hAnsi="Arial"/>
          <w:b/>
          <w:color w:val="2196F3"/>
          <w:sz w:val="26"/>
        </w:rPr>
        <w:t>Gatekeeper Verification</w:t>
      </w:r>
    </w:p>
    <w:p>
      <w:pPr>
        <w:spacing w:after="160"/>
      </w:pPr>
      <w:r>
        <w:t>Testing the similarity threshold across various image distributions validated our gatekeeper boundary:</w:t>
      </w:r>
    </w:p>
    <w:p>
      <w:pPr>
        <w:pStyle w:val="ListBullet"/>
      </w:pPr>
      <w:r>
        <w:t>**Leaf Specimens**: Cosine similarities ranged from **`0.6349` to `0.8663`** (Average: `0.7730`).</w:t>
      </w:r>
    </w:p>
    <w:p>
      <w:pPr>
        <w:pStyle w:val="ListBullet"/>
      </w:pPr>
      <w:r>
        <w:t>**Non-Plant Objects**: A human portrait image yielded a similarity score of **`0.5625`**, which fell below our calibrated threshold of `0.65`, verifying successful specimen filtering.</w:t>
      </w:r>
    </w:p>
    <w:p>
      <w:pPr>
        <w:pStyle w:val="Heading2"/>
        <w:spacing w:before="240" w:after="120"/>
      </w:pPr>
      <w:r>
        <w:rPr>
          <w:rFonts w:ascii="Arial" w:hAnsi="Arial"/>
          <w:b/>
          <w:color w:val="2196F3"/>
          <w:sz w:val="26"/>
        </w:rPr>
        <w:t>Weather Layout Fitment</w:t>
      </w:r>
    </w:p>
    <w:p>
      <w:pPr>
        <w:spacing w:after="160"/>
      </w:pPr>
      <w:r>
        <w:t xml:space="preserve">By introducing </w:t>
      </w:r>
      <w:r>
        <w:rPr>
          <w:rFonts w:ascii="Consolas" w:hAnsi="Consolas"/>
          <w:color w:val="E11D48"/>
        </w:rPr>
        <w:t>min-width: 0</w:t>
      </w:r>
      <w:r>
        <w:t xml:space="preserve"> rules and restricting the timeline carousel to </w:t>
      </w:r>
      <w:r>
        <w:rPr>
          <w:rFonts w:ascii="Consolas" w:hAnsi="Consolas"/>
          <w:color w:val="E11D48"/>
        </w:rPr>
        <w:t>max-width: 100%</w:t>
      </w:r>
      <w:r>
        <w:t>, we eliminated page-level horizontal overflow. The 15-day weather grid scrolls smoothly within its card container while keeping page content aligned.</w:t>
      </w:r>
    </w:p>
    <w:p>
      <w:pPr>
        <w:spacing w:after="160"/>
      </w:pPr>
      <w:r>
        <w:t>---</w:t>
      </w:r>
    </w:p>
    <w:p>
      <w:pPr>
        <w:pStyle w:val="Heading1"/>
        <w:spacing w:before="240" w:after="120"/>
      </w:pPr>
      <w:r>
        <w:rPr>
          <w:rFonts w:ascii="Arial" w:hAnsi="Arial"/>
          <w:b/>
          <w:color w:val="0D9488"/>
          <w:sz w:val="32"/>
        </w:rPr>
        <w:t>6. Conclusion</w:t>
      </w:r>
    </w:p>
    <w:p>
      <w:pPr>
        <w:spacing w:after="160"/>
      </w:pPr>
      <w:r>
        <w:t xml:space="preserve">AgriShield successfully demonstrates that combining classical deep learning feature extractors with variational quantum circuits (PQCs) offers an accurate agricultural classification engine. By representing features in Hilbert space and entangling qubits, the quantum layer maintains a validation accuracy of </w:t>
      </w:r>
      <w:r>
        <w:rPr>
          <w:b/>
        </w:rPr>
        <w:t>98.24%</w:t>
      </w:r>
      <w:r>
        <w:t>.</w:t>
      </w:r>
    </w:p>
    <w:p>
      <w:pPr>
        <w:spacing w:after="160"/>
      </w:pPr>
      <w:r>
        <w:t>Furthermore, integrating real-time weather analytics bridges the gap between observation and prevention. The geocoding system warns farmers of high fungal threat risks before physical symptoms appear. Backed by a relational database backend and layout responsiveness, the AgriShield suite delivers a comprehensive agricultural tool.</w:t>
      </w:r>
    </w:p>
    <w:p>
      <w:pPr>
        <w:spacing w:after="160"/>
      </w:pPr>
      <w:r>
        <w:t>---</w:t>
      </w:r>
    </w:p>
    <w:p>
      <w:pPr>
        <w:pStyle w:val="Heading1"/>
        <w:spacing w:before="240" w:after="120"/>
      </w:pPr>
      <w:r>
        <w:rPr>
          <w:rFonts w:ascii="Arial" w:hAnsi="Arial"/>
          <w:b/>
          <w:color w:val="0D9488"/>
          <w:sz w:val="32"/>
        </w:rPr>
        <w:t>7. Future Work</w:t>
      </w:r>
    </w:p>
    <w:p>
      <w:pPr>
        <w:spacing w:after="160"/>
      </w:pPr>
      <w:r>
        <w:t>While the pennyLane simulation is highly effective, future iterations of AgriShield will target:</w:t>
      </w:r>
    </w:p>
    <w:p>
      <w:pPr>
        <w:pStyle w:val="ListNumber"/>
      </w:pPr>
      <w:r>
        <w:t>**Multi-Spectral Satellite Imagery**: Expanding dataset inputs beyond leaf photos to incorporate multi-spectral drone/satellite images for regional surveillance.</w:t>
      </w:r>
    </w:p>
    <w:p>
      <w:pPr>
        <w:pStyle w:val="ListNumber"/>
      </w:pPr>
      <w:r>
        <w:t>**Federated QML**: Training quantum models collaboratively across multiple edge devices while keeping client telemetry private.</w:t>
      </w:r>
    </w:p>
    <w:p>
      <w:pPr>
        <w:spacing w:after="160"/>
      </w:pPr>
      <w:r>
        <w:t>---</w:t>
      </w:r>
    </w:p>
    <w:p>
      <w:pPr>
        <w:pStyle w:val="Heading1"/>
        <w:spacing w:before="240" w:after="120"/>
      </w:pPr>
      <w:r>
        <w:rPr>
          <w:rFonts w:ascii="Arial" w:hAnsi="Arial"/>
          <w:b/>
          <w:color w:val="0D9488"/>
          <w:sz w:val="32"/>
        </w:rPr>
        <w:t>8. Reference</w:t>
      </w:r>
    </w:p>
    <w:p>
      <w:pPr>
        <w:pStyle w:val="ListNumber"/>
      </w:pPr>
      <w:r>
        <w:t>**Perez-Salinas, A., Cervera, A., Guzman-Saenz, A., &amp; Latorre, J. I. (2020).** *Data re-uploading for a universal single-qubit quantum classifier.* Quantum, 4, 226.</w:t>
      </w:r>
    </w:p>
    <w:p>
      <w:pPr>
        <w:pStyle w:val="ListNumber"/>
      </w:pPr>
      <w:r>
        <w:t>**Bergholm, V., Izaac, J., Schuld, M., Villemin, C., Albert, M. S., Alzetta, F., ... &amp; Killoran, N. (2018).** *PennyLane: Automatic differentiation of hybrid quantum-classical computations.* arXiv preprint arXiv:1811.04968.</w:t>
      </w:r>
    </w:p>
    <w:p>
      <w:pPr>
        <w:pStyle w:val="ListNumber"/>
      </w:pPr>
      <w:r>
        <w:t>**Hughes, J. H., &amp; Plant, R. E. (2017).** *Principles of Agricultural Plant Pathology and Weather-Based Epidemiology.* Academic Press.</w:t>
      </w:r>
    </w:p>
    <w:p>
      <w:pPr>
        <w:spacing w:after="160"/>
      </w:pPr>
      <w:r>
        <w:t xml:space="preserve">4. </w:t>
      </w:r>
      <w:r>
        <w:rPr>
          <w:b/>
        </w:rPr>
        <w:t>Paszke, A., Gross, S., Massa, F., Lerer, A., Bradbury, J., Chanan, G., ... &amp; Chintala, S. (2019).</w:t>
      </w:r>
      <w:r>
        <w:t xml:space="preserve"> *PyTorch: An imperative style, high-performance deep learning library.* Advances in Neural Information Processing Systems, 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