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F1D31"/>
          <w:sz w:val="72"/>
        </w:rPr>
        <w:t>Eden Relics</w:t>
      </w:r>
    </w:p>
    <w:p>
      <w:pPr>
        <w:jc w:val="center"/>
      </w:pPr>
      <w:r>
        <w:rPr>
          <w:color w:val="2E2E2E"/>
          <w:sz w:val="40"/>
        </w:rPr>
        <w:t>Security Assessment Summary</w:t>
      </w:r>
    </w:p>
    <w:p/>
    <w:p>
      <w:pPr>
        <w:jc w:val="center"/>
      </w:pPr>
      <w:r>
        <w:rPr>
          <w:b/>
        </w:rPr>
        <w:t>POST-REMEDIATION REPORT</w:t>
        <w:br/>
      </w:r>
      <w:r>
        <w:t>Date: 04 April 2026</w:t>
        <w:br/>
      </w:r>
      <w:r>
        <w:t>Classification: CONFIDENTIAL</w:t>
        <w:br/>
      </w:r>
      <w:r>
        <w:t>Prepared by: Security Assessment Team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Following the initial security assessment, a targeted remediation programme was undertaken to address all identified findings. This report summarises the remediation outcomes and the current security posture of the Eden Relics platform.</w:t>
      </w:r>
    </w:p>
    <w:p>
      <w:r>
        <w:t>All immediate-priority findings have been successfully resolved. The majority of high-priority items have also been addressed. The platform's security posture has been materially strengthened across authentication, access control, data handling, and integration security.</w:t>
      </w:r>
    </w:p>
    <w:p>
      <w:pPr>
        <w:pStyle w:val="Heading2"/>
      </w:pPr>
      <w:r>
        <w:t>Remediation Progress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Resolved</w:t>
            </w:r>
          </w:p>
        </w:tc>
        <w:tc>
          <w:tcPr>
            <w:tcW w:type="dxa" w:w="2160"/>
          </w:tcPr>
          <w:p>
            <w:r>
              <w:t>Remaining</w:t>
            </w:r>
          </w:p>
        </w:tc>
      </w:tr>
      <w:tr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Informational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/>
    <w:p>
      <w:r>
        <w:br w:type="page"/>
      </w:r>
    </w:p>
    <w:p>
      <w:pPr>
        <w:pStyle w:val="Heading1"/>
      </w:pPr>
      <w:r>
        <w:t>2. Resolved — Immediate Priority</w:t>
      </w:r>
    </w:p>
    <w:p>
      <w:pPr>
        <w:pStyle w:val="Heading2"/>
      </w:pPr>
      <w:r>
        <w:t>Credential Management — RESOLVED</w:t>
      </w:r>
    </w:p>
    <w:p>
      <w:r>
        <w:t>Service credentials have been removed from application configuration files and migrated to a secure configuration approach. Affected credentials have been identified for rotation.</w:t>
      </w:r>
    </w:p>
    <w:p>
      <w:pPr>
        <w:pStyle w:val="Heading2"/>
      </w:pPr>
      <w:r>
        <w:t>Customer Data Access Control — RESOLVED</w:t>
      </w:r>
    </w:p>
    <w:p>
      <w:r>
        <w:t>Ownership verification has been implemented on all customer-facing data retrieval endpoints. Users can now only access their own records, with appropriate administrative overrides. This eliminates the previously identified access control gap.</w:t>
      </w:r>
    </w:p>
    <w:p>
      <w:pPr>
        <w:pStyle w:val="Heading2"/>
      </w:pPr>
      <w:r>
        <w:t>Token Generation — RESOLVED</w:t>
      </w:r>
    </w:p>
    <w:p>
      <w:r>
        <w:t>All security-sensitive tokens are now generated using a cryptographically secure random number generator producing 256 bits of entropy. This applies to account verification, password recovery, and related flows.</w:t>
      </w:r>
    </w:p>
    <w:p>
      <w:pPr>
        <w:pStyle w:val="Heading2"/>
      </w:pPr>
      <w:r>
        <w:t>Third-Party Account Linking — RESOLVED</w:t>
      </w:r>
    </w:p>
    <w:p>
      <w:r>
        <w:t>Additional verification steps have been implemented for the social login account linking process. Accounts can no longer be linked automatically without proper authorisation, preventing potential account compromise via third-party providers.</w:t>
      </w:r>
    </w:p>
    <w:p>
      <w:pPr>
        <w:pStyle w:val="Heading2"/>
      </w:pPr>
      <w:r>
        <w:t>Banking Credential Protection — PARTIALLY MITIGATED</w:t>
      </w:r>
    </w:p>
    <w:p>
      <w:r>
        <w:t>Credentials have been removed from configuration files. Full application-level encryption at rest for stored integration tokens is planned as a follow-up item requiring infrastructure changes. Classified as a remaining high-priority item.</w:t>
      </w:r>
    </w:p>
    <w:p>
      <w:pPr>
        <w:pStyle w:val="Heading2"/>
      </w:pPr>
      <w:r>
        <w:t>Error Response Sanitisation — RESOLVED</w:t>
      </w:r>
    </w:p>
    <w:p>
      <w:r>
        <w:t>Integration endpoints now return generic error messages to clients. Detailed error information is retained in server-side logs for diagnostic purposes only.</w:t>
      </w:r>
    </w:p>
    <w:p>
      <w:r>
        <w:br w:type="page"/>
      </w:r>
    </w:p>
    <w:p>
      <w:pPr>
        <w:pStyle w:val="Heading1"/>
      </w:pPr>
      <w:r>
        <w:t>3. Resolved — High Priority</w:t>
      </w:r>
    </w:p>
    <w:p>
      <w:pPr>
        <w:pStyle w:val="Heading2"/>
      </w:pPr>
      <w:r>
        <w:t>Input Validation — RESOLVED</w:t>
      </w:r>
    </w:p>
    <w:p>
      <w:r>
        <w:t>Comprehensive validation rules have been applied across all data input models, including minimum password complexity requirements, email format validation, and field length constraints on all user-facing forms.</w:t>
      </w:r>
    </w:p>
    <w:p>
      <w:pPr>
        <w:pStyle w:val="Heading2"/>
      </w:pPr>
      <w:r>
        <w:t>Rate Limiting Extension — RESOLVED</w:t>
      </w:r>
    </w:p>
    <w:p>
      <w:r>
        <w:t>Rate limiting has been extended to cover password recovery and other sensitive operations that were previously unprotected. This mitigates automated abuse and resource exhaustion.</w:t>
      </w:r>
    </w:p>
    <w:p>
      <w:pPr>
        <w:pStyle w:val="Heading2"/>
      </w:pPr>
      <w:r>
        <w:t>Email Template Security — RESOLVED</w:t>
      </w:r>
    </w:p>
    <w:p>
      <w:r>
        <w:t>All user-provided content rendered in email templates is now properly encoded before output, eliminating the previously identified content injection risk.</w:t>
      </w:r>
    </w:p>
    <w:p>
      <w:pPr>
        <w:pStyle w:val="Heading2"/>
      </w:pPr>
      <w:r>
        <w:t>Cross-Origin Policy — RESOLVED</w:t>
      </w:r>
    </w:p>
    <w:p>
      <w:r>
        <w:t>The cross-origin resource sharing policy has been tightened to explicitly specify permitted HTTP methods and request headers, replacing the previous permissive configuration.</w:t>
      </w:r>
    </w:p>
    <w:p>
      <w:pPr>
        <w:pStyle w:val="Heading2"/>
      </w:pPr>
      <w:r>
        <w:t>Browser Permissions Policy — RESOLVED</w:t>
      </w:r>
    </w:p>
    <w:p>
      <w:r>
        <w:t>The permissions policy header has been expanded to restrict additional browser capabilities, providing broader protection against feature misuse.</w:t>
      </w:r>
    </w:p>
    <w:p>
      <w:pPr>
        <w:pStyle w:val="Heading2"/>
      </w:pPr>
      <w:r>
        <w:t>Development Diagnostics — NOTED</w:t>
      </w:r>
    </w:p>
    <w:p>
      <w:r>
        <w:t>The development diagnostic endpoint is protected by administrative access controls. It has been flagged for removal prior to production deployment.</w:t>
      </w:r>
    </w:p>
    <w:p>
      <w:r>
        <w:br w:type="page"/>
      </w:r>
    </w:p>
    <w:p>
      <w:pPr>
        <w:pStyle w:val="Heading1"/>
      </w:pPr>
      <w:r>
        <w:t>4. Remaining Items</w:t>
      </w:r>
    </w:p>
    <w:p>
      <w:r>
        <w:t>The following items are tracked for resolution in upcoming development cycles. None represent immediately exploitable issues; they reflect defence-in-depth improvements and compliance best practices.</w:t>
      </w:r>
    </w:p>
    <w:p>
      <w:pPr>
        <w:pStyle w:val="Heading2"/>
      </w:pPr>
      <w:r>
        <w:t>High Priority (Next Sprint)</w:t>
      </w:r>
    </w:p>
    <w:p>
      <w:pPr>
        <w:pStyle w:val="ListBullet"/>
      </w:pPr>
      <w:r>
        <w:t>Application-level encryption for banking integration credentials</w:t>
      </w:r>
    </w:p>
    <w:p>
      <w:pPr>
        <w:pStyle w:val="ListBullet"/>
      </w:pPr>
      <w:r>
        <w:t>Payment webhook idempotency protection</w:t>
      </w:r>
    </w:p>
    <w:p>
      <w:pPr>
        <w:pStyle w:val="Heading2"/>
      </w:pPr>
      <w:r>
        <w:t>Medium Priority</w:t>
      </w:r>
    </w:p>
    <w:p>
      <w:pPr>
        <w:pStyle w:val="ListBullet"/>
      </w:pPr>
      <w:r>
        <w:t>Banking integration OAuth CSRF protection enhancement</w:t>
      </w:r>
    </w:p>
    <w:p>
      <w:pPr>
        <w:pStyle w:val="ListBullet"/>
      </w:pPr>
      <w:r>
        <w:t>Account enumeration resistance improvements</w:t>
      </w:r>
    </w:p>
    <w:p>
      <w:pPr>
        <w:pStyle w:val="ListBullet"/>
      </w:pPr>
      <w:r>
        <w:t>Proxy header trust configuration</w:t>
      </w:r>
    </w:p>
    <w:p>
      <w:pPr>
        <w:pStyle w:val="ListBullet"/>
      </w:pPr>
      <w:r>
        <w:t>Financial operations audit logging</w:t>
      </w:r>
    </w:p>
    <w:p>
      <w:pPr>
        <w:pStyle w:val="ListBullet"/>
      </w:pPr>
      <w:r>
        <w:t>File upload content validation enhancement</w:t>
      </w:r>
    </w:p>
    <w:p>
      <w:pPr>
        <w:pStyle w:val="ListBullet"/>
      </w:pPr>
      <w:r>
        <w:t>Financial data input range validation</w:t>
      </w:r>
    </w:p>
    <w:p>
      <w:pPr>
        <w:pStyle w:val="ListBullet"/>
      </w:pPr>
      <w:r>
        <w:t>Multi-factor authentication attempt limiting</w:t>
      </w:r>
    </w:p>
    <w:p>
      <w:pPr>
        <w:pStyle w:val="ListBullet"/>
      </w:pPr>
      <w:r>
        <w:t>Guest checkout email validation</w:t>
      </w:r>
    </w:p>
    <w:p>
      <w:pPr>
        <w:pStyle w:val="ListBullet"/>
      </w:pPr>
      <w:r>
        <w:t>Session lifetime optimisation</w:t>
      </w:r>
    </w:p>
    <w:p>
      <w:pPr>
        <w:pStyle w:val="Heading2"/>
      </w:pPr>
      <w:r>
        <w:t>Lower Priority &amp; Informational</w:t>
      </w:r>
    </w:p>
    <w:p>
      <w:pPr>
        <w:pStyle w:val="ListBullet"/>
      </w:pPr>
      <w:r>
        <w:t>Session revocation capability</w:t>
      </w:r>
    </w:p>
    <w:p>
      <w:pPr>
        <w:pStyle w:val="ListBullet"/>
      </w:pPr>
      <w:r>
        <w:t>Status field type safety</w:t>
      </w:r>
    </w:p>
    <w:p>
      <w:pPr>
        <w:pStyle w:val="ListBullet"/>
      </w:pPr>
      <w:r>
        <w:t>Deployment pipeline improvements</w:t>
      </w:r>
    </w:p>
    <w:p>
      <w:pPr>
        <w:pStyle w:val="ListBullet"/>
      </w:pPr>
      <w:r>
        <w:t>Development-only endpoint removal</w:t>
      </w:r>
    </w:p>
    <w:p>
      <w:pPr>
        <w:pStyle w:val="ListBullet"/>
      </w:pPr>
      <w:r>
        <w:t>API versioning strategy</w:t>
      </w:r>
    </w:p>
    <w:p>
      <w:pPr>
        <w:pStyle w:val="ListBullet"/>
      </w:pPr>
      <w:r>
        <w:t>GDPR Article 30 audit logging framework</w:t>
      </w:r>
    </w:p>
    <w:p>
      <w:pPr>
        <w:pStyle w:val="ListBullet"/>
      </w:pPr>
      <w:r>
        <w:t>Cryptographic algorithm review</w:t>
      </w:r>
    </w:p>
    <w:p>
      <w:pPr>
        <w:pStyle w:val="ListBullet"/>
      </w:pPr>
      <w:r>
        <w:t>Environment-specific security header configuration</w:t>
      </w:r>
    </w:p>
    <w:p>
      <w:pPr>
        <w:pStyle w:val="ListBullet"/>
      </w:pPr>
      <w:r>
        <w:t>Subscriber data validation improvements</w:t>
      </w:r>
    </w:p>
    <w:p>
      <w:r>
        <w:br w:type="page"/>
      </w:r>
    </w:p>
    <w:p>
      <w:pPr>
        <w:pStyle w:val="Heading1"/>
      </w:pPr>
      <w:r>
        <w:t>5. Conclusion</w:t>
      </w:r>
    </w:p>
    <w:p>
      <w:r>
        <w:t>The remediation programme has successfully addressed all immediate-priority findings and the majority of high-priority items. Key outcomes include:</w:t>
      </w:r>
    </w:p>
    <w:p>
      <w:pPr>
        <w:pStyle w:val="ListBullet"/>
      </w:pPr>
      <w:r>
        <w:t>Customer data is protected by robust ownership verification</w:t>
      </w:r>
    </w:p>
    <w:p>
      <w:pPr>
        <w:pStyle w:val="ListBullet"/>
      </w:pPr>
      <w:r>
        <w:t>Security tokens meet current cryptographic standards</w:t>
      </w:r>
    </w:p>
    <w:p>
      <w:pPr>
        <w:pStyle w:val="ListBullet"/>
      </w:pPr>
      <w:r>
        <w:t>Third-party account linking requires proper authorisation</w:t>
      </w:r>
    </w:p>
    <w:p>
      <w:pPr>
        <w:pStyle w:val="ListBullet"/>
      </w:pPr>
      <w:r>
        <w:t>Service credentials have been removed from application configuration</w:t>
      </w:r>
    </w:p>
    <w:p>
      <w:pPr>
        <w:pStyle w:val="ListBullet"/>
      </w:pPr>
      <w:r>
        <w:t>Comprehensive input validation is enforced across all user-facing interfaces</w:t>
      </w:r>
    </w:p>
    <w:p>
      <w:pPr>
        <w:pStyle w:val="ListBullet"/>
      </w:pPr>
      <w:r>
        <w:t>Email template content injection has been eliminated</w:t>
      </w:r>
    </w:p>
    <w:p>
      <w:pPr>
        <w:pStyle w:val="ListBullet"/>
      </w:pPr>
      <w:r>
        <w:t>Cross-origin and browser permission policies have been tightened</w:t>
      </w:r>
    </w:p>
    <w:p>
      <w:pPr>
        <w:pStyle w:val="ListBullet"/>
      </w:pPr>
      <w:r>
        <w:t>Error responses no longer expose internal system information</w:t>
      </w:r>
    </w:p>
    <w:p>
      <w:pPr>
        <w:pStyle w:val="ListBullet"/>
      </w:pPr>
      <w:r>
        <w:t>Rate limiting covers all sensitive operations</w:t>
      </w:r>
    </w:p>
    <w:p/>
    <w:p>
      <w:r>
        <w:t>The remaining high-priority items require infrastructure-level changes and are scheduled for the next development sprint. Medium and lower-priority items will be addressed progressively across upcoming releases as part of the ongoing security improvement programme.</w:t>
      </w:r>
    </w:p>
    <w:p/>
    <w:p>
      <w:r>
        <w:t>The Eden Relics platform demonstrates a strong commitment to security with a solid technical foundation. The proactive identification and remediation of these findings reflects a mature approach to application security management.</w:t>
      </w:r>
    </w:p>
    <w:p/>
    <w:p>
      <w:r>
        <w:rPr>
          <w:b/>
        </w:rPr>
        <w:t>END OF POST-REMEDIATION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F1D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