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Eden Relics — UK Legal Compliance Audit &amp; Remediation Report</w:t>
      </w:r>
    </w:p>
    <w:p>
      <w:pPr>
        <w:jc w:val="center"/>
      </w:pPr>
      <w:r>
        <w:t>Prepared: 04 April 2026</w:t>
        <w:br/>
        <w:t>Company: DCPNET LTD (Company No. 15734157)</w:t>
        <w:br/>
        <w:t>Trading as: Eden Relics</w:t>
        <w:br/>
        <w:t>Website: edenrelics.co.uk</w:t>
      </w:r>
    </w:p>
    <w:p/>
    <w:p>
      <w:pPr>
        <w:pStyle w:val="Heading1"/>
      </w:pPr>
      <w:r>
        <w:t>1. Executive Summary</w:t>
      </w:r>
    </w:p>
    <w:p>
      <w:r>
        <w:t>This report documents a compliance audit of the Eden Relics e-commerce website against key UK legal requirements for online businesses. The audit identified five critical gaps and several areas for improvement. All critical issues have been remediated as described in this document.</w:t>
      </w:r>
    </w:p>
    <w:p>
      <w:pPr>
        <w:pStyle w:val="Heading1"/>
      </w:pPr>
      <w:r>
        <w:t>2. Scope of Audit</w:t>
      </w:r>
    </w:p>
    <w:p>
      <w:r>
        <w:t>The audit covered the following areas of UK law and regulation:</w:t>
      </w:r>
    </w:p>
    <w:p>
      <w:pPr>
        <w:pStyle w:val="ListBullet"/>
      </w:pPr>
      <w:r>
        <w:t>Companies Act 2006 — company information disclosure</w:t>
      </w:r>
    </w:p>
    <w:p>
      <w:pPr>
        <w:pStyle w:val="ListBullet"/>
      </w:pPr>
      <w:r>
        <w:t>UK GDPR &amp; Data Protection Act 2018 — privacy and data protection</w:t>
      </w:r>
    </w:p>
    <w:p>
      <w:pPr>
        <w:pStyle w:val="ListBullet"/>
      </w:pPr>
      <w:r>
        <w:t>Consumer Rights Act 2015 — consumer protection</w:t>
      </w:r>
    </w:p>
    <w:p>
      <w:pPr>
        <w:pStyle w:val="ListBullet"/>
      </w:pPr>
      <w:r>
        <w:t>Consumer Contracts (Information, Cancellation and Additional Charges) Regulations 2013 — distance selling</w:t>
      </w:r>
    </w:p>
    <w:p>
      <w:pPr>
        <w:pStyle w:val="ListBullet"/>
      </w:pPr>
      <w:r>
        <w:t>Electronic Commerce (EC Directive) Regulations 2002 — e-commerce requirements</w:t>
      </w:r>
    </w:p>
    <w:p>
      <w:pPr>
        <w:pStyle w:val="ListBullet"/>
      </w:pPr>
      <w:r>
        <w:t>Privacy and Electronic Communications Regulations (PECR) — cookies and electronic marketing</w:t>
      </w:r>
    </w:p>
    <w:p>
      <w:pPr>
        <w:pStyle w:val="ListBullet"/>
      </w:pPr>
      <w:r>
        <w:t>Modern Slavery Act 2015 — transparency in supply chains</w:t>
      </w:r>
    </w:p>
    <w:p>
      <w:pPr>
        <w:pStyle w:val="ListBullet"/>
      </w:pPr>
      <w:r>
        <w:t>Equality Act 2010 / WCAG 2.1 Level AA — web accessibility</w:t>
      </w:r>
    </w:p>
    <w:p>
      <w:pPr>
        <w:pStyle w:val="ListBullet"/>
      </w:pPr>
      <w:r>
        <w:t>PCI DSS — payment card data security</w:t>
      </w:r>
    </w:p>
    <w:p>
      <w:pPr>
        <w:pStyle w:val="Heading1"/>
      </w:pPr>
      <w:r>
        <w:t>3. Findings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Status Before</w:t>
            </w:r>
          </w:p>
        </w:tc>
        <w:tc>
          <w:tcPr>
            <w:tcW w:type="dxa" w:w="2160"/>
          </w:tcPr>
          <w:p>
            <w:r>
              <w:t>Priority</w:t>
            </w:r>
          </w:p>
        </w:tc>
        <w:tc>
          <w:tcPr>
            <w:tcW w:type="dxa" w:w="2160"/>
          </w:tcPr>
          <w:p>
            <w:r>
              <w:t>Status After Remediation</w:t>
            </w:r>
          </w:p>
        </w:tc>
      </w:tr>
      <w:tr>
        <w:tc>
          <w:tcPr>
            <w:tcW w:type="dxa" w:w="2160"/>
          </w:tcPr>
          <w:p>
            <w:r>
              <w:t>Companies Act 2006</w:t>
            </w:r>
          </w:p>
        </w:tc>
        <w:tc>
          <w:tcPr>
            <w:tcW w:type="dxa" w:w="2160"/>
          </w:tcPr>
          <w:p>
            <w:r>
              <w:t>Compliant</w:t>
            </w:r>
          </w:p>
        </w:tc>
        <w:tc>
          <w:tcPr>
            <w:tcW w:type="dxa" w:w="2160"/>
          </w:tcPr>
          <w:p>
            <w:r>
              <w:t>—</w:t>
            </w:r>
          </w:p>
        </w:tc>
        <w:tc>
          <w:tcPr>
            <w:tcW w:type="dxa" w:w="2160"/>
          </w:tcPr>
          <w:p>
            <w:r>
              <w:t>Compliant</w:t>
            </w:r>
          </w:p>
        </w:tc>
      </w:tr>
      <w:tr>
        <w:tc>
          <w:tcPr>
            <w:tcW w:type="dxa" w:w="2160"/>
          </w:tcPr>
          <w:p>
            <w:r>
              <w:t>UK GDPR / DPA 2018</w:t>
            </w:r>
          </w:p>
        </w:tc>
        <w:tc>
          <w:tcPr>
            <w:tcW w:type="dxa" w:w="2160"/>
          </w:tcPr>
          <w:p>
            <w:r>
              <w:t>Partial</w:t>
            </w:r>
          </w:p>
        </w:tc>
        <w:tc>
          <w:tcPr>
            <w:tcW w:type="dxa" w:w="2160"/>
          </w:tcPr>
          <w:p>
            <w:r>
              <w:t>HIGH</w:t>
            </w:r>
          </w:p>
        </w:tc>
        <w:tc>
          <w:tcPr>
            <w:tcW w:type="dxa" w:w="2160"/>
          </w:tcPr>
          <w:p>
            <w:r>
              <w:t>Compliant</w:t>
            </w:r>
          </w:p>
        </w:tc>
      </w:tr>
      <w:tr>
        <w:tc>
          <w:tcPr>
            <w:tcW w:type="dxa" w:w="2160"/>
          </w:tcPr>
          <w:p>
            <w:r>
              <w:t>Consumer Rights Act 2015</w:t>
            </w:r>
          </w:p>
        </w:tc>
        <w:tc>
          <w:tcPr>
            <w:tcW w:type="dxa" w:w="2160"/>
          </w:tcPr>
          <w:p>
            <w:r>
              <w:t>Substantial</w:t>
            </w:r>
          </w:p>
        </w:tc>
        <w:tc>
          <w:tcPr>
            <w:tcW w:type="dxa" w:w="2160"/>
          </w:tcPr>
          <w:p>
            <w:r>
              <w:t>MEDIUM</w:t>
            </w:r>
          </w:p>
        </w:tc>
        <w:tc>
          <w:tcPr>
            <w:tcW w:type="dxa" w:w="2160"/>
          </w:tcPr>
          <w:p>
            <w:r>
              <w:t>Compliant</w:t>
            </w:r>
          </w:p>
        </w:tc>
      </w:tr>
      <w:tr>
        <w:tc>
          <w:tcPr>
            <w:tcW w:type="dxa" w:w="2160"/>
          </w:tcPr>
          <w:p>
            <w:r>
              <w:t>Consumer Contracts Regs 2013</w:t>
            </w:r>
          </w:p>
        </w:tc>
        <w:tc>
          <w:tcPr>
            <w:tcW w:type="dxa" w:w="2160"/>
          </w:tcPr>
          <w:p>
            <w:r>
              <w:t>Partial</w:t>
            </w:r>
          </w:p>
        </w:tc>
        <w:tc>
          <w:tcPr>
            <w:tcW w:type="dxa" w:w="2160"/>
          </w:tcPr>
          <w:p>
            <w:r>
              <w:t>HIGH</w:t>
            </w:r>
          </w:p>
        </w:tc>
        <w:tc>
          <w:tcPr>
            <w:tcW w:type="dxa" w:w="2160"/>
          </w:tcPr>
          <w:p>
            <w:r>
              <w:t>Compliant</w:t>
            </w:r>
          </w:p>
        </w:tc>
      </w:tr>
      <w:tr>
        <w:tc>
          <w:tcPr>
            <w:tcW w:type="dxa" w:w="2160"/>
          </w:tcPr>
          <w:p>
            <w:r>
              <w:t>E-Commerce Regulations 2002</w:t>
            </w:r>
          </w:p>
        </w:tc>
        <w:tc>
          <w:tcPr>
            <w:tcW w:type="dxa" w:w="2160"/>
          </w:tcPr>
          <w:p>
            <w:r>
              <w:t>Substantial</w:t>
            </w:r>
          </w:p>
        </w:tc>
        <w:tc>
          <w:tcPr>
            <w:tcW w:type="dxa" w:w="2160"/>
          </w:tcPr>
          <w:p>
            <w:r>
              <w:t>HIGH</w:t>
            </w:r>
          </w:p>
        </w:tc>
        <w:tc>
          <w:tcPr>
            <w:tcW w:type="dxa" w:w="2160"/>
          </w:tcPr>
          <w:p>
            <w:r>
              <w:t>Compliant</w:t>
            </w:r>
          </w:p>
        </w:tc>
      </w:tr>
      <w:tr>
        <w:tc>
          <w:tcPr>
            <w:tcW w:type="dxa" w:w="2160"/>
          </w:tcPr>
          <w:p>
            <w:r>
              <w:t>Cookie Law (PECR)</w:t>
            </w:r>
          </w:p>
        </w:tc>
        <w:tc>
          <w:tcPr>
            <w:tcW w:type="dxa" w:w="2160"/>
          </w:tcPr>
          <w:p>
            <w:r>
              <w:t>Not Compliant</w:t>
            </w:r>
          </w:p>
        </w:tc>
        <w:tc>
          <w:tcPr>
            <w:tcW w:type="dxa" w:w="2160"/>
          </w:tcPr>
          <w:p>
            <w:r>
              <w:t>HIGH</w:t>
            </w:r>
          </w:p>
        </w:tc>
        <w:tc>
          <w:tcPr>
            <w:tcW w:type="dxa" w:w="2160"/>
          </w:tcPr>
          <w:p>
            <w:r>
              <w:t>Compliant</w:t>
            </w:r>
          </w:p>
        </w:tc>
      </w:tr>
      <w:tr>
        <w:tc>
          <w:tcPr>
            <w:tcW w:type="dxa" w:w="2160"/>
          </w:tcPr>
          <w:p>
            <w:r>
              <w:t>Modern Slavery Act 2015</w:t>
            </w:r>
          </w:p>
        </w:tc>
        <w:tc>
          <w:tcPr>
            <w:tcW w:type="dxa" w:w="2160"/>
          </w:tcPr>
          <w:p>
            <w:r>
              <w:t>Compliant</w:t>
            </w:r>
          </w:p>
        </w:tc>
        <w:tc>
          <w:tcPr>
            <w:tcW w:type="dxa" w:w="2160"/>
          </w:tcPr>
          <w:p>
            <w:r>
              <w:t>—</w:t>
            </w:r>
          </w:p>
        </w:tc>
        <w:tc>
          <w:tcPr>
            <w:tcW w:type="dxa" w:w="2160"/>
          </w:tcPr>
          <w:p>
            <w:r>
              <w:t>Compliant</w:t>
            </w:r>
          </w:p>
        </w:tc>
      </w:tr>
      <w:tr>
        <w:tc>
          <w:tcPr>
            <w:tcW w:type="dxa" w:w="2160"/>
          </w:tcPr>
          <w:p>
            <w:r>
              <w:t>Accessibility (WCAG 2.1 AA)</w:t>
            </w:r>
          </w:p>
        </w:tc>
        <w:tc>
          <w:tcPr>
            <w:tcW w:type="dxa" w:w="2160"/>
          </w:tcPr>
          <w:p>
            <w:r>
              <w:t>Partial</w:t>
            </w:r>
          </w:p>
        </w:tc>
        <w:tc>
          <w:tcPr>
            <w:tcW w:type="dxa" w:w="2160"/>
          </w:tcPr>
          <w:p>
            <w:r>
              <w:t>MEDIUM</w:t>
            </w:r>
          </w:p>
        </w:tc>
        <w:tc>
          <w:tcPr>
            <w:tcW w:type="dxa" w:w="2160"/>
          </w:tcPr>
          <w:p>
            <w:r>
              <w:t>Partial (ongoing)</w:t>
            </w:r>
          </w:p>
        </w:tc>
      </w:tr>
      <w:tr>
        <w:tc>
          <w:tcPr>
            <w:tcW w:type="dxa" w:w="2160"/>
          </w:tcPr>
          <w:p>
            <w:r>
              <w:t>PCI DSS</w:t>
            </w:r>
          </w:p>
        </w:tc>
        <w:tc>
          <w:tcPr>
            <w:tcW w:type="dxa" w:w="2160"/>
          </w:tcPr>
          <w:p>
            <w:r>
              <w:t>Secure</w:t>
            </w:r>
          </w:p>
        </w:tc>
        <w:tc>
          <w:tcPr>
            <w:tcW w:type="dxa" w:w="2160"/>
          </w:tcPr>
          <w:p>
            <w:r>
              <w:t>—</w:t>
            </w:r>
          </w:p>
        </w:tc>
        <w:tc>
          <w:tcPr>
            <w:tcW w:type="dxa" w:w="2160"/>
          </w:tcPr>
          <w:p>
            <w:r>
              <w:t>Secure</w:t>
            </w:r>
          </w:p>
        </w:tc>
      </w:tr>
      <w:tr>
        <w:tc>
          <w:tcPr>
            <w:tcW w:type="dxa" w:w="2160"/>
          </w:tcPr>
          <w:p>
            <w:r>
              <w:t>Terms &amp; Conditions</w:t>
            </w:r>
          </w:p>
        </w:tc>
        <w:tc>
          <w:tcPr>
            <w:tcW w:type="dxa" w:w="2160"/>
          </w:tcPr>
          <w:p>
            <w:r>
              <w:t>Not Compliant</w:t>
            </w:r>
          </w:p>
        </w:tc>
        <w:tc>
          <w:tcPr>
            <w:tcW w:type="dxa" w:w="2160"/>
          </w:tcPr>
          <w:p>
            <w:r>
              <w:t>HIGH</w:t>
            </w:r>
          </w:p>
        </w:tc>
        <w:tc>
          <w:tcPr>
            <w:tcW w:type="dxa" w:w="2160"/>
          </w:tcPr>
          <w:p>
            <w:r>
              <w:t>Compliant</w:t>
            </w:r>
          </w:p>
        </w:tc>
      </w:tr>
    </w:tbl>
    <w:p/>
    <w:p>
      <w:pPr>
        <w:pStyle w:val="Heading1"/>
      </w:pPr>
      <w:r>
        <w:t>4. Detailed Findings &amp; Remediation</w:t>
      </w:r>
    </w:p>
    <w:p>
      <w:pPr>
        <w:pStyle w:val="Heading2"/>
      </w:pPr>
      <w:r>
        <w:t>4.1 Terms &amp; Conditions — CRITICAL GAP RESOLVED</w:t>
      </w:r>
    </w:p>
    <w:p>
      <w:pPr>
        <w:pStyle w:val="Heading3"/>
      </w:pPr>
      <w:r>
        <w:t>Finding</w:t>
      </w:r>
    </w:p>
    <w:p>
      <w:r>
        <w:t>No Terms and Conditions page existed on the website. The checkout page only referenced the Returns Policy. This is a critical omission under the E-Commerce Regulations 2002 and general best practice for UK e-commerce.</w:t>
      </w:r>
    </w:p>
    <w:p>
      <w:pPr>
        <w:pStyle w:val="Heading3"/>
      </w:pPr>
      <w:r>
        <w:t>Remediation</w:t>
      </w:r>
    </w:p>
    <w:p>
      <w:r>
        <w:t>A comprehensive Terms &amp; Conditions page has been created covering: introduction and company details, products and pricing (including VAT statement), orders and payment processing, delivery options and timescales, right to cancel and returns (with link to Returns Policy), consumer rights under the Consumer Rights Act 2015, website acceptable use, intellectual property, limitation of liability, data protection (with link to Privacy Policy), dispute resolution (including ADR and ODR references), and contact information.</w:t>
      </w:r>
    </w:p>
    <w:p>
      <w:pPr>
        <w:pStyle w:val="ListBullet"/>
      </w:pPr>
      <w:r>
        <w:t>Files modified:</w:t>
      </w:r>
    </w:p>
    <w:p>
      <w:pPr>
        <w:pStyle w:val="ListBullet2"/>
      </w:pPr>
      <w:r>
        <w:t>frontend: terms-conditions.component.ts, terms-conditions.component.html (new)</w:t>
      </w:r>
    </w:p>
    <w:p>
      <w:pPr>
        <w:pStyle w:val="ListBullet2"/>
      </w:pPr>
      <w:r>
        <w:t>backend: ContentController.cs — added policy.terms.content default</w:t>
      </w:r>
    </w:p>
    <w:p>
      <w:pPr>
        <w:pStyle w:val="ListBullet2"/>
      </w:pPr>
      <w:r>
        <w:t>frontend: app.routes.ts — added /terms-conditions route</w:t>
      </w:r>
    </w:p>
    <w:p>
      <w:pPr>
        <w:pStyle w:val="ListBullet2"/>
      </w:pPr>
      <w:r>
        <w:t>frontend: footer.component.html — added T&amp;Cs link to footer navigation</w:t>
      </w:r>
    </w:p>
    <w:p>
      <w:pPr>
        <w:pStyle w:val="ListBullet2"/>
      </w:pPr>
      <w:r>
        <w:t>frontend: cart.component.html — checkout now links to T&amp;Cs in addition to Returns Policy</w:t>
      </w:r>
    </w:p>
    <w:p>
      <w:pPr>
        <w:pStyle w:val="Heading2"/>
      </w:pPr>
      <w:r>
        <w:t>4.2 Cookie Consent (PECR) — CRITICAL GAP RESOLVED</w:t>
      </w:r>
    </w:p>
    <w:p>
      <w:pPr>
        <w:pStyle w:val="Heading3"/>
      </w:pPr>
      <w:r>
        <w:t>Finding</w:t>
      </w:r>
    </w:p>
    <w:p>
      <w:r>
        <w:t>No cookie consent mechanism existed. Third-party social login SDKs (Facebook, Google) were loaded unconditionally on page load, setting cookies without user consent. This is a breach of the Privacy and Electronic Communications Regulations (PECR).</w:t>
      </w:r>
    </w:p>
    <w:p>
      <w:pPr>
        <w:pStyle w:val="Heading3"/>
      </w:pPr>
      <w:r>
        <w:t>Remediation</w:t>
      </w:r>
    </w:p>
    <w:p>
      <w:r>
        <w:t>A PECR-compliant cookie consent banner has been implemented. The banner appears on first visit and offers two choices: 'Accept All' (essential + non-essential) or 'Essential Only'. The user's preference is stored in localStorage. Third-party social login SDKs are now only loaded when the user has consented to non-essential cookies. A dedicated Cookie Policy page has been created explaining all cookie categories.</w:t>
      </w:r>
    </w:p>
    <w:p>
      <w:pPr>
        <w:pStyle w:val="ListBullet"/>
      </w:pPr>
      <w:r>
        <w:t>Files modified:</w:t>
      </w:r>
    </w:p>
    <w:p>
      <w:pPr>
        <w:pStyle w:val="ListBullet2"/>
      </w:pPr>
      <w:r>
        <w:t>frontend: cookie-banner.component.ts/html/scss (new component)</w:t>
      </w:r>
    </w:p>
    <w:p>
      <w:pPr>
        <w:pStyle w:val="ListBullet2"/>
      </w:pPr>
      <w:r>
        <w:t>frontend: cookie-policy.component.ts/html (new page)</w:t>
      </w:r>
    </w:p>
    <w:p>
      <w:pPr>
        <w:pStyle w:val="ListBullet2"/>
      </w:pPr>
      <w:r>
        <w:t>frontend: app.ts, app.html — added cookie banner to root layout</w:t>
      </w:r>
    </w:p>
    <w:p>
      <w:pPr>
        <w:pStyle w:val="ListBullet2"/>
      </w:pPr>
      <w:r>
        <w:t>frontend: social-login.component.ts — SDKs now respect consent preference</w:t>
      </w:r>
    </w:p>
    <w:p>
      <w:pPr>
        <w:pStyle w:val="ListBullet2"/>
      </w:pPr>
      <w:r>
        <w:t>backend: ContentController.cs — added policy.cookies.content default</w:t>
      </w:r>
    </w:p>
    <w:p>
      <w:pPr>
        <w:pStyle w:val="ListBullet2"/>
      </w:pPr>
      <w:r>
        <w:t>frontend: footer.component.html — added Cookie Policy link</w:t>
      </w:r>
    </w:p>
    <w:p>
      <w:pPr>
        <w:pStyle w:val="Heading2"/>
      </w:pPr>
      <w:r>
        <w:t>4.3 VAT Price Clarity — RESOLVED</w:t>
      </w:r>
    </w:p>
    <w:p>
      <w:pPr>
        <w:pStyle w:val="Heading3"/>
      </w:pPr>
      <w:r>
        <w:t>Finding</w:t>
      </w:r>
    </w:p>
    <w:p>
      <w:r>
        <w:t>Prices were displayed in GBP but there was no explicit statement that prices include VAT, as required by the E-Commerce Regulations 2002 and Consumer Contracts Regulations 2013.</w:t>
      </w:r>
    </w:p>
    <w:p>
      <w:pPr>
        <w:pStyle w:val="Heading3"/>
      </w:pPr>
      <w:r>
        <w:t>Remediation</w:t>
      </w:r>
    </w:p>
    <w:p>
      <w:r>
        <w:t>A VAT notice ('All prices shown are inclusive of VAT where applicable') has been added to the footer of every page and to the checkout order summary ('All prices include VAT').</w:t>
      </w:r>
    </w:p>
    <w:p>
      <w:pPr>
        <w:pStyle w:val="ListBullet"/>
      </w:pPr>
      <w:r>
        <w:t>Files modified:</w:t>
      </w:r>
    </w:p>
    <w:p>
      <w:pPr>
        <w:pStyle w:val="ListBullet2"/>
      </w:pPr>
      <w:r>
        <w:t>frontend: footer.component.html/scss — added VAT notice in footer bottom</w:t>
      </w:r>
    </w:p>
    <w:p>
      <w:pPr>
        <w:pStyle w:val="ListBullet2"/>
      </w:pPr>
      <w:r>
        <w:t>frontend: cart.component.html/scss — added VAT note below order total in checkout</w:t>
      </w:r>
    </w:p>
    <w:p>
      <w:pPr>
        <w:pStyle w:val="Heading2"/>
      </w:pPr>
      <w:r>
        <w:t>4.4 Privacy Policy (UK GDPR) — ENHANCED</w:t>
      </w:r>
    </w:p>
    <w:p>
      <w:pPr>
        <w:pStyle w:val="Heading3"/>
      </w:pPr>
      <w:r>
        <w:t>Finding</w:t>
      </w:r>
    </w:p>
    <w:p>
      <w:r>
        <w:t>The existing privacy policy was minimal and lacked several UK GDPR requirements: no data controller identification, no lawful basis for processing stated, no third-party data processor disclosure (Stripe, Resend), no cookie policy reference, no data breach notification procedure, no ICO complaint rights, and no mention of data portability rights.</w:t>
      </w:r>
    </w:p>
    <w:p>
      <w:pPr>
        <w:pStyle w:val="Heading3"/>
      </w:pPr>
      <w:r>
        <w:t>Remediation</w:t>
      </w:r>
    </w:p>
    <w:p>
      <w:r>
        <w:t>The privacy policy has been comprehensively rewritten to include all required UK GDPR elements: data controller details, lawful bases for processing (contract, legal obligation, legitimate interests, consent), full list of third-party data processors (Stripe, Resend, Google/Facebook/Apple for social login), cookie policy cross-reference, data retention periods (6 years for order data per HMRC requirements), complete list of data subject rights including portability, data breach notification procedure, and ICO complaint information.</w:t>
      </w:r>
    </w:p>
    <w:p>
      <w:pPr>
        <w:pStyle w:val="ListBullet"/>
      </w:pPr>
      <w:r>
        <w:t>Files modified:</w:t>
      </w:r>
    </w:p>
    <w:p>
      <w:pPr>
        <w:pStyle w:val="ListBullet2"/>
      </w:pPr>
      <w:r>
        <w:t>backend: ContentController.cs — rewrote policy.privacy.content default</w:t>
      </w:r>
    </w:p>
    <w:p>
      <w:pPr>
        <w:pStyle w:val="Heading2"/>
      </w:pPr>
      <w:r>
        <w:t>4.5 Right-of-Withdrawal Summary at Checkout — RESOLVED</w:t>
      </w:r>
    </w:p>
    <w:p>
      <w:pPr>
        <w:pStyle w:val="Heading3"/>
      </w:pPr>
      <w:r>
        <w:t>Finding</w:t>
      </w:r>
    </w:p>
    <w:p>
      <w:r>
        <w:t>The Consumer Contracts Regulations 2013 require that the right to cancel is communicated before the consumer places an order. The checkout page did not include this information.</w:t>
      </w:r>
    </w:p>
    <w:p>
      <w:pPr>
        <w:pStyle w:val="Heading3"/>
      </w:pPr>
      <w:r>
        <w:t>Remediation</w:t>
      </w:r>
    </w:p>
    <w:p>
      <w:r>
        <w:t>A right-of-withdrawal summary has been added to the checkout sidebar, immediately above the order placement button. It states the 14-day cancellation right, how to exercise it, and links to the full Returns Policy.</w:t>
      </w:r>
    </w:p>
    <w:p>
      <w:pPr>
        <w:pStyle w:val="ListBullet"/>
      </w:pPr>
      <w:r>
        <w:t>Files modified:</w:t>
      </w:r>
    </w:p>
    <w:p>
      <w:pPr>
        <w:pStyle w:val="ListBullet2"/>
      </w:pPr>
      <w:r>
        <w:t>frontend: cart.component.html/scss — added withdrawal notice in checkout sidebar</w:t>
      </w:r>
    </w:p>
    <w:p>
      <w:pPr>
        <w:pStyle w:val="Heading2"/>
      </w:pPr>
      <w:r>
        <w:t>4.6 GDPR Data Subject Rights (Export &amp; Deletion) — RESOLVED</w:t>
      </w:r>
    </w:p>
    <w:p>
      <w:pPr>
        <w:pStyle w:val="Heading3"/>
      </w:pPr>
      <w:r>
        <w:t>Finding</w:t>
      </w:r>
    </w:p>
    <w:p>
      <w:r>
        <w:t>While the privacy policy mentioned the right to access and delete personal data, no self-service mechanism existed in the user interface for data export (portability) or account deletion (right to erasure).</w:t>
      </w:r>
    </w:p>
    <w:p>
      <w:pPr>
        <w:pStyle w:val="Heading3"/>
      </w:pPr>
      <w:r>
        <w:t>Remediation</w:t>
      </w:r>
    </w:p>
    <w:p>
      <w:r>
        <w:t>A 'Your Data' section has been added to the account settings page with two functions: 'Download My Data' exports all personal data as a JSON file (right to data portability), and 'Delete My Account' permanently removes the user account and all associated data (right to erasure). The deletion requires a two-step confirmation to prevent accidental data loss. Corresponding API endpoints have been added to the backend.</w:t>
      </w:r>
    </w:p>
    <w:p>
      <w:pPr>
        <w:pStyle w:val="ListBullet"/>
      </w:pPr>
      <w:r>
        <w:t>Files modified:</w:t>
      </w:r>
    </w:p>
    <w:p>
      <w:pPr>
        <w:pStyle w:val="ListBullet2"/>
      </w:pPr>
      <w:r>
        <w:t>backend: AccountController.cs — added GET export-data and DELETE delete-account endpoints</w:t>
      </w:r>
    </w:p>
    <w:p>
      <w:pPr>
        <w:pStyle w:val="ListBullet2"/>
      </w:pPr>
      <w:r>
        <w:t>frontend: auth.service.ts — added exportData() and deleteAccount() methods</w:t>
      </w:r>
    </w:p>
    <w:p>
      <w:pPr>
        <w:pStyle w:val="ListBullet2"/>
      </w:pPr>
      <w:r>
        <w:t>frontend: settings-page.component.ts/html/scss — added 'Your Data' collapsible section</w:t>
      </w:r>
    </w:p>
    <w:p>
      <w:pPr>
        <w:pStyle w:val="Heading1"/>
      </w:pPr>
      <w:r>
        <w:t>5. Items Already Compliant (No Changes Required)</w:t>
      </w:r>
    </w:p>
    <w:p>
      <w:pPr>
        <w:pStyle w:val="Heading2"/>
      </w:pPr>
      <w:r>
        <w:t>5.1 Companies Act 2006</w:t>
      </w:r>
    </w:p>
    <w:p>
      <w:r>
        <w:t>Company name (DCPNET LTD), registration number (15734157), VAT number (512 3682 13), registered address, and contact details are all prominently displayed in the footer on every page.</w:t>
      </w:r>
    </w:p>
    <w:p>
      <w:pPr>
        <w:pStyle w:val="Heading2"/>
      </w:pPr>
      <w:r>
        <w:t>5.2 Modern Slavery Act 2015</w:t>
      </w:r>
    </w:p>
    <w:p>
      <w:r>
        <w:t>A comprehensive Modern Slavery Statement is published and linked from the footer, covering commitment, business description, due diligence, and reporting mechanism. A complementary Supply Chain Policy is also published.</w:t>
      </w:r>
    </w:p>
    <w:p>
      <w:pPr>
        <w:pStyle w:val="Heading2"/>
      </w:pPr>
      <w:r>
        <w:t>5.3 Payment Security (PCI DSS)</w:t>
      </w:r>
    </w:p>
    <w:p>
      <w:r>
        <w:t>Payments are processed through Stripe. No full card details are stored on Eden Relics servers. Only the last four digits are retained for display. HSTS, Content-Security-Policy, X-Frame-Options, and other security headers are correctly configured. Rate limiting is applied to authentication and contact endpoints.</w:t>
      </w:r>
    </w:p>
    <w:p>
      <w:pPr>
        <w:pStyle w:val="Heading2"/>
      </w:pPr>
      <w:r>
        <w:t>5.4 Consumer Rights Act 2015 — Returns Policy</w:t>
      </w:r>
    </w:p>
    <w:p>
      <w:r>
        <w:t>A detailed Returns Policy was already in place covering the 14-day cooling-off period, return conditions, refund timelines, faulty item procedures, and sale items.</w:t>
      </w:r>
    </w:p>
    <w:p>
      <w:pPr>
        <w:pStyle w:val="Heading1"/>
      </w:pPr>
      <w:r>
        <w:t>6. Remaining Items for Ongoing Attention</w:t>
      </w:r>
    </w:p>
    <w:p>
      <w:pPr>
        <w:pStyle w:val="Heading2"/>
      </w:pPr>
      <w:r>
        <w:t>6.1 Accessibility (WCAG 2.1 AA)</w:t>
      </w:r>
    </w:p>
    <w:p>
      <w:r>
        <w:t>An accessibility audit has been conducted and published. The site has a strong foundation with semantic HTML, skip navigation, keyboard focus indicators, and image alt text. The following items from the accessibility audit remain open and should be addressed in future development cycles:</w:t>
      </w:r>
    </w:p>
    <w:p>
      <w:pPr>
        <w:pStyle w:val="ListBullet"/>
      </w:pPr>
      <w:r>
        <w:t>Modal/pop-up dialogs lack keyboard focus trapping (Escape key doesn't close)</w:t>
      </w:r>
    </w:p>
    <w:p>
      <w:pPr>
        <w:pStyle w:val="ListBullet"/>
      </w:pPr>
      <w:r>
        <w:t>Dynamic updates (cart additions, filter changes) not announced to screen readers via ARIA live regions</w:t>
      </w:r>
    </w:p>
    <w:p>
      <w:pPr>
        <w:pStyle w:val="ListBullet"/>
      </w:pPr>
      <w:r>
        <w:t>Some product image overlay text may have contrast issues on certain backgrounds</w:t>
      </w:r>
    </w:p>
    <w:p>
      <w:pPr>
        <w:pStyle w:val="ListBullet"/>
      </w:pPr>
      <w:r>
        <w:t>Form error messages not programmatically linked to specific fields</w:t>
      </w:r>
    </w:p>
    <w:p>
      <w:pPr>
        <w:pStyle w:val="ListBullet"/>
      </w:pPr>
      <w:r>
        <w:t>Some interactive elements (favourite button) below 44x44px minimum touch target</w:t>
      </w:r>
    </w:p>
    <w:p>
      <w:pPr>
        <w:pStyle w:val="Heading1"/>
      </w:pPr>
      <w:r>
        <w:t>7. Recommendations</w:t>
      </w:r>
    </w:p>
    <w:p>
      <w:r>
        <w:t>1. Have a solicitor review the Terms &amp; Conditions and Privacy Policy to ensure they are fully appropriate for the business.</w:t>
        <w:br/>
        <w:t>2. Address the outstanding accessibility issues identified in the WCAG audit.</w:t>
        <w:br/>
        <w:t>3. Consider appointing a Data Protection Officer or nominated data protection contact.</w:t>
        <w:br/>
        <w:t>4. Conduct periodic (at least annual) reviews of all policies to ensure ongoing compliance.</w:t>
        <w:br/>
        <w:t>5. Implement cookie preference management UI (allowing users to change preferences without clearing browser cookies).</w:t>
        <w:br/>
        <w:t>6. Add delivery timeframe estimates to the Returns Policy page.</w:t>
      </w:r>
    </w:p>
    <w:p>
      <w:pPr>
        <w:pStyle w:val="Heading1"/>
      </w:pPr>
      <w:r>
        <w:t>8. Disclaimer</w:t>
      </w:r>
    </w:p>
    <w:p>
      <w:r>
        <w:t>This report documents a technical code-level review and is not legal advice. It should not be relied upon as a substitute for professional legal counsel. DCPNET LTD should engage a qualified solicitor to review all policies and ensure full legal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