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3B" w:rsidRDefault="00EB170E">
      <w:pPr>
        <w:spacing w:after="0" w:line="259" w:lineRule="auto"/>
        <w:ind w:right="0" w:firstLine="0"/>
        <w:jc w:val="left"/>
      </w:pPr>
      <w:bookmarkStart w:id="0" w:name="_GoBack"/>
      <w:bookmarkEnd w:id="0"/>
      <w:r>
        <w:rPr>
          <w:i/>
          <w:sz w:val="16"/>
        </w:rPr>
        <w:t xml:space="preserve"> </w:t>
      </w:r>
    </w:p>
    <w:p w:rsidR="00A3403B" w:rsidRDefault="00EB170E">
      <w:pPr>
        <w:spacing w:after="22" w:line="259" w:lineRule="auto"/>
        <w:ind w:right="0" w:firstLine="0"/>
        <w:jc w:val="left"/>
      </w:pPr>
      <w:r>
        <w:rPr>
          <w:i/>
          <w:sz w:val="16"/>
        </w:rPr>
        <w:t xml:space="preserve"> </w:t>
      </w:r>
    </w:p>
    <w:p w:rsidR="00A3403B" w:rsidRDefault="00EB170E">
      <w:pPr>
        <w:spacing w:after="24" w:line="277" w:lineRule="auto"/>
        <w:ind w:firstLine="0"/>
        <w:jc w:val="right"/>
      </w:pPr>
      <w:r>
        <w:rPr>
          <w:i/>
          <w:sz w:val="16"/>
        </w:rPr>
        <w:t xml:space="preserve">                 </w:t>
      </w:r>
      <w:r>
        <w:t>Территориальные сметные цены на материалы, изделия, конструкции и оборудование, применяемые в строительстве ТССЦ 81-01-2001. Республика Крым</w:t>
      </w:r>
      <w:r>
        <w:rPr>
          <w:i/>
          <w:sz w:val="16"/>
        </w:rPr>
        <w:t xml:space="preserve"> </w:t>
      </w:r>
    </w:p>
    <w:p w:rsidR="00A3403B" w:rsidRDefault="00EB170E">
      <w:pPr>
        <w:spacing w:before="10" w:after="281" w:line="259" w:lineRule="auto"/>
        <w:ind w:righ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A3403B" w:rsidRDefault="00EB170E">
      <w:pPr>
        <w:tabs>
          <w:tab w:val="center" w:pos="2537"/>
          <w:tab w:val="center" w:pos="7611"/>
        </w:tabs>
        <w:spacing w:after="4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3403B" w:rsidRDefault="00EB170E">
      <w:pPr>
        <w:spacing w:after="41" w:line="259" w:lineRule="auto"/>
        <w:ind w:left="2532" w:right="309" w:hanging="1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3403B" w:rsidRDefault="00EB170E">
      <w:pPr>
        <w:tabs>
          <w:tab w:val="center" w:pos="2537"/>
          <w:tab w:val="center" w:pos="7611"/>
        </w:tabs>
        <w:spacing w:after="4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3403B" w:rsidRDefault="00EB170E">
      <w:pPr>
        <w:tabs>
          <w:tab w:val="center" w:pos="2537"/>
          <w:tab w:val="center" w:pos="7613"/>
        </w:tabs>
        <w:spacing w:after="4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1344/пр </w:t>
      </w:r>
    </w:p>
    <w:p w:rsidR="00A3403B" w:rsidRDefault="00EB170E">
      <w:pPr>
        <w:spacing w:after="0" w:line="259" w:lineRule="auto"/>
        <w:ind w:right="265" w:firstLine="0"/>
        <w:jc w:val="center"/>
      </w:pPr>
      <w:r>
        <w:rPr>
          <w:b/>
          <w:sz w:val="32"/>
        </w:rPr>
        <w:t xml:space="preserve"> </w:t>
      </w:r>
    </w:p>
    <w:p w:rsidR="00A3403B" w:rsidRDefault="00EB170E">
      <w:pPr>
        <w:spacing w:after="158" w:line="259" w:lineRule="auto"/>
        <w:ind w:right="265" w:firstLine="0"/>
        <w:jc w:val="center"/>
      </w:pPr>
      <w:r>
        <w:rPr>
          <w:b/>
          <w:sz w:val="32"/>
        </w:rPr>
        <w:t xml:space="preserve"> </w:t>
      </w:r>
    </w:p>
    <w:p w:rsidR="00A3403B" w:rsidRDefault="00EB170E">
      <w:pPr>
        <w:spacing w:after="173" w:line="361" w:lineRule="auto"/>
        <w:ind w:right="0" w:firstLine="0"/>
        <w:jc w:val="center"/>
      </w:pPr>
      <w:r>
        <w:rPr>
          <w:b/>
          <w:sz w:val="32"/>
        </w:rPr>
        <w:t xml:space="preserve">ТЕРРИТОРИАЛЬНЫЕ СМЕТНЫЕ НОРМАТИВЫ ТЕРРИТОРИАЛЬНЫЕ СМЕТНЫЕ ЦЕНЫ </w:t>
      </w:r>
    </w:p>
    <w:p w:rsidR="00A3403B" w:rsidRDefault="00EB170E">
      <w:pPr>
        <w:spacing w:after="28" w:line="259" w:lineRule="auto"/>
        <w:ind w:left="13" w:hanging="10"/>
        <w:jc w:val="center"/>
      </w:pPr>
      <w:r>
        <w:rPr>
          <w:b/>
          <w:sz w:val="28"/>
        </w:rPr>
        <w:t xml:space="preserve">ТЕРРИТОРИАЛЬНЫЕ СМЕТНЫЕ ЦЕНЫ НА МАТЕРИАЛЫ, </w:t>
      </w:r>
    </w:p>
    <w:p w:rsidR="00A3403B" w:rsidRDefault="00EB170E">
      <w:pPr>
        <w:spacing w:after="28" w:line="259" w:lineRule="auto"/>
        <w:ind w:left="13" w:hanging="10"/>
        <w:jc w:val="center"/>
      </w:pPr>
      <w:r>
        <w:rPr>
          <w:b/>
          <w:sz w:val="28"/>
        </w:rPr>
        <w:t xml:space="preserve">ИЗДЕЛИЯ, КОНСТРУКЦИИ И ОБОРУДОВАНИЕ, </w:t>
      </w:r>
    </w:p>
    <w:p w:rsidR="00A3403B" w:rsidRDefault="00EB170E">
      <w:pPr>
        <w:spacing w:after="225" w:line="259" w:lineRule="auto"/>
        <w:ind w:left="2626" w:right="0" w:firstLine="0"/>
        <w:jc w:val="left"/>
      </w:pPr>
      <w:r>
        <w:rPr>
          <w:b/>
          <w:sz w:val="28"/>
        </w:rPr>
        <w:t xml:space="preserve">ПРИМЕНЯЕМЫЕ В СТРОИТЕЛЬСТВЕ </w:t>
      </w:r>
    </w:p>
    <w:p w:rsidR="00A3403B" w:rsidRDefault="00EB170E">
      <w:pPr>
        <w:spacing w:after="87" w:line="259" w:lineRule="auto"/>
        <w:ind w:left="-7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1465" cy="23495"/>
                <wp:effectExtent l="0" t="0" r="0" b="0"/>
                <wp:docPr id="1107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465" cy="23495"/>
                          <a:chOff x="0" y="0"/>
                          <a:chExt cx="6641465" cy="2349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23495"/>
                            <a:ext cx="6641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465">
                                <a:moveTo>
                                  <a:pt x="0" y="0"/>
                                </a:moveTo>
                                <a:lnTo>
                                  <a:pt x="664146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6641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465">
                                <a:moveTo>
                                  <a:pt x="0" y="0"/>
                                </a:moveTo>
                                <a:lnTo>
                                  <a:pt x="664146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7" style="width:522.95pt;height:1.85004pt;mso-position-horizontal-relative:char;mso-position-vertical-relative:line" coordsize="66414,234">
                <v:shape id="Shape 172" style="position:absolute;width:66414;height:0;left:0;top:234;" coordsize="6641465,0" path="m0,0l6641465,0">
                  <v:stroke weight="0.5pt" endcap="flat" joinstyle="miter" miterlimit="10" on="true" color="#000000"/>
                  <v:fill on="false" color="#000000" opacity="0"/>
                </v:shape>
                <v:shape id="Shape 173" style="position:absolute;width:66414;height:0;left:0;top:0;" coordsize="6641465,0" path="m0,0l664146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3403B" w:rsidRDefault="00EB170E">
      <w:pPr>
        <w:spacing w:after="0" w:line="259" w:lineRule="auto"/>
        <w:ind w:right="1" w:firstLine="0"/>
        <w:jc w:val="center"/>
      </w:pPr>
      <w:r>
        <w:rPr>
          <w:sz w:val="28"/>
        </w:rPr>
        <w:t>ТССЦ 81-01-</w:t>
      </w:r>
      <w:r>
        <w:rPr>
          <w:sz w:val="28"/>
        </w:rPr>
        <w:t xml:space="preserve">2001 </w:t>
      </w:r>
    </w:p>
    <w:p w:rsidR="00A3403B" w:rsidRDefault="00EB170E">
      <w:pPr>
        <w:spacing w:after="318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23685" cy="24765"/>
                <wp:effectExtent l="0" t="0" r="0" b="0"/>
                <wp:docPr id="1108" name="Group 1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24765"/>
                          <a:chOff x="0" y="0"/>
                          <a:chExt cx="6623685" cy="2476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24765"/>
                            <a:ext cx="66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685">
                                <a:moveTo>
                                  <a:pt x="0" y="0"/>
                                </a:moveTo>
                                <a:lnTo>
                                  <a:pt x="662368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8" style="width:521.55pt;height:1.94998pt;mso-position-horizontal-relative:char;mso-position-vertical-relative:line" coordsize="66236,247">
                <v:shape id="Shape 174" style="position:absolute;width:66236;height:0;left:0;top:0;" coordsize="6623685,0" path="m0,0l6623685,0">
                  <v:stroke weight="0.5pt" endcap="flat" joinstyle="miter" miterlimit="10" on="true" color="#000000"/>
                  <v:fill on="false" color="#000000" opacity="0"/>
                </v:shape>
                <v:shape id="Shape 175" style="position:absolute;width:66236;height:0;left:0;top:247;" coordsize="6623685,0" path="m0,0l662368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3403B" w:rsidRDefault="00EB170E">
      <w:pPr>
        <w:spacing w:after="254" w:line="259" w:lineRule="auto"/>
        <w:ind w:left="13" w:right="0" w:hanging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426720</wp:posOffset>
                </wp:positionH>
                <wp:positionV relativeFrom="page">
                  <wp:posOffset>537972</wp:posOffset>
                </wp:positionV>
                <wp:extent cx="6701028" cy="6096"/>
                <wp:effectExtent l="0" t="0" r="0" b="0"/>
                <wp:wrapTopAndBottom/>
                <wp:docPr id="1106" name="Group 1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028" cy="6096"/>
                          <a:chOff x="0" y="0"/>
                          <a:chExt cx="6701028" cy="6096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67010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028" h="9144">
                                <a:moveTo>
                                  <a:pt x="0" y="0"/>
                                </a:moveTo>
                                <a:lnTo>
                                  <a:pt x="6701028" y="0"/>
                                </a:lnTo>
                                <a:lnTo>
                                  <a:pt x="67010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" style="width:527.64pt;height:0.47998pt;position:absolute;mso-position-horizontal-relative:page;mso-position-horizontal:absolute;margin-left:33.6pt;mso-position-vertical-relative:page;margin-top:42.36pt;" coordsize="67010,60">
                <v:shape id="Shape 1416" style="position:absolute;width:67010;height:91;left:0;top:0;" coordsize="6701028,9144" path="m0,0l6701028,0l6701028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I. ОБЩИЕ ПОЛОЖЕНИЯ </w:t>
      </w:r>
    </w:p>
    <w:p w:rsidR="00A3403B" w:rsidRDefault="00EB170E">
      <w:pPr>
        <w:numPr>
          <w:ilvl w:val="0"/>
          <w:numId w:val="1"/>
        </w:numPr>
        <w:ind w:right="0"/>
      </w:pPr>
      <w:r>
        <w:t>Территориальные сметные нормативы «Территориальные сметные цены на материалы, изделия, конструкции и оборудование, применяемые в строительстве» разработаны в базисном уровне цен по состоянию на 1 января 2000 года и предназначен</w:t>
      </w:r>
      <w:r>
        <w:t>ы для определения сметной стоимости строительства, реконструкции и капитального ремонта объектов капитального строительства, финансируемых с привлечением средств бюджетов бюджетной системы Российской Федерации, средств юридических лиц, созданных Российской</w:t>
      </w:r>
      <w:r>
        <w:t xml:space="preserve"> Федерацией, субъектами Российской Федерации, муниципальными образованиями, юридических лиц, доля 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процентов, а так</w:t>
      </w:r>
      <w:r>
        <w:t>же сметной стоимости капитального ремонта многоквартирного дома, осуществляемого полностью или частично за счет средств регионального оператора, товарищества собственников жилья, жилищного, жилищно-строительного кооператива или иного специализированного по</w:t>
      </w:r>
      <w:r>
        <w:t xml:space="preserve">требительского кооператива либо средств собственников помещений в многоквартирном доме, а также для разработки единичных расценок, включенных в сборники ТЕР -2001. </w:t>
      </w:r>
    </w:p>
    <w:p w:rsidR="00A3403B" w:rsidRDefault="00EB170E">
      <w:pPr>
        <w:numPr>
          <w:ilvl w:val="0"/>
          <w:numId w:val="1"/>
        </w:numPr>
        <w:ind w:right="0"/>
      </w:pPr>
      <w:r>
        <w:t xml:space="preserve">Отпускные цены на материалы, изделия, конструкции и оборудование определены на основании средневзвешенных цен поставщиков (производителей) с учетом доли их поставки. </w:t>
      </w:r>
    </w:p>
    <w:p w:rsidR="00A3403B" w:rsidRDefault="00EB170E">
      <w:pPr>
        <w:numPr>
          <w:ilvl w:val="0"/>
          <w:numId w:val="1"/>
        </w:numPr>
        <w:ind w:right="0"/>
      </w:pPr>
      <w:r>
        <w:t>Сметные цены учитывают все расходы, связанные с приобретением, доставкой материалов, изде</w:t>
      </w:r>
      <w:r>
        <w:t xml:space="preserve">лий, конструкций и оборудования от поставщиков (производителей) до приобъектного склада объекта капитального строительства. </w:t>
      </w:r>
    </w:p>
    <w:p w:rsidR="00A3403B" w:rsidRDefault="00EB170E">
      <w:pPr>
        <w:numPr>
          <w:ilvl w:val="0"/>
          <w:numId w:val="1"/>
        </w:numPr>
        <w:ind w:right="0"/>
      </w:pPr>
      <w:r>
        <w:t>Транспортные затраты приняты из условия перевозки грузов автомобильным транспортом на расстояние до 30 километров с учетом массы бр</w:t>
      </w:r>
      <w:r>
        <w:t xml:space="preserve">утто. </w:t>
      </w:r>
    </w:p>
    <w:p w:rsidR="00A3403B" w:rsidRDefault="00EB170E">
      <w:pPr>
        <w:numPr>
          <w:ilvl w:val="0"/>
          <w:numId w:val="1"/>
        </w:numPr>
        <w:ind w:right="0"/>
      </w:pPr>
      <w:r>
        <w:t xml:space="preserve">Заготовительно-складские расходы приняты в процентах от стоимости материалов, изделий, конструкций и оборудования франко-приобъектный склад в размере: </w:t>
      </w:r>
    </w:p>
    <w:p w:rsidR="00A3403B" w:rsidRDefault="00EB170E">
      <w:pPr>
        <w:ind w:left="319" w:right="0" w:firstLine="0"/>
      </w:pPr>
      <w:r>
        <w:lastRenderedPageBreak/>
        <w:t xml:space="preserve">по строительным материалам, изделиям и конструкциям (за исключением металлических строительных   </w:t>
      </w:r>
      <w:r>
        <w:t xml:space="preserve">    конструкций)            - 2%; </w:t>
      </w:r>
    </w:p>
    <w:p w:rsidR="00A3403B" w:rsidRDefault="00EB170E">
      <w:pPr>
        <w:ind w:left="319" w:right="5037" w:firstLine="0"/>
      </w:pPr>
      <w:r>
        <w:t xml:space="preserve">по металлическим строительнымконструкциям   - 0,75%; по оборудованию                                                      - 1,2%. </w:t>
      </w:r>
    </w:p>
    <w:p w:rsidR="00A3403B" w:rsidRDefault="00EB170E">
      <w:pPr>
        <w:numPr>
          <w:ilvl w:val="0"/>
          <w:numId w:val="1"/>
        </w:numPr>
        <w:ind w:right="0"/>
      </w:pPr>
      <w:r>
        <w:t>Затраты на доставку материалов, изделий, конструкций и оборудования не учитывают использов</w:t>
      </w:r>
      <w:r>
        <w:t>ание перевалочных баз и складов. В случае, когда перевозка осуществляется с использованием промежуточных баз (складов), сметная стоимости материалов, изделий, конструкций и оборудования определяется в соответствии с методическими документами, включенными в</w:t>
      </w:r>
      <w:r>
        <w:t xml:space="preserve"> Федеральный реестр сметных нормативов. </w:t>
      </w:r>
    </w:p>
    <w:p w:rsidR="00A3403B" w:rsidRDefault="00EB170E">
      <w:pPr>
        <w:numPr>
          <w:ilvl w:val="0"/>
          <w:numId w:val="1"/>
        </w:numPr>
        <w:ind w:right="0"/>
      </w:pPr>
      <w:r>
        <w:t>При определении сметной стоимости материалов, изделий, конструкций и оборудования, наименование которых отсутствует в настоящем сборнике ТССЦ-2001, необходимо руководствоваться положениями методических документов, в</w:t>
      </w:r>
      <w:r>
        <w:t xml:space="preserve">несенных в Федеральный реестр сметных нормативов. </w:t>
      </w:r>
    </w:p>
    <w:sectPr w:rsidR="00A3403B">
      <w:pgSz w:w="11899" w:h="16841"/>
      <w:pgMar w:top="1440" w:right="704" w:bottom="1440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E4FFA"/>
    <w:multiLevelType w:val="hybridMultilevel"/>
    <w:tmpl w:val="E3CC8F62"/>
    <w:lvl w:ilvl="0" w:tplc="3976DE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D45CFC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50775A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0AB50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16DE96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6E1E4C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4CF88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C43EDE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0A52F8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3B"/>
    <w:rsid w:val="00A3403B"/>
    <w:rsid w:val="00EB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6055F-02A6-4A9E-9596-051F4C4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6" w:lineRule="auto"/>
      <w:ind w:right="5" w:firstLine="309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2018-09-26T11:03:00Z</dcterms:created>
  <dcterms:modified xsi:type="dcterms:W3CDTF">2018-09-26T11:03:00Z</dcterms:modified>
</cp:coreProperties>
</file>